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embeddings/Microsoft_Excel_Worksheet1.xlsx" ContentType="application/vnd.openxmlformats-officedocument.spreadsheetml.sheet"/>
  <Override PartName="/word/embeddings/Microsoft_Excel_Worksheet2.xlsx" ContentType="application/vnd.openxmlformats-officedocument.spreadsheetml.sheet"/>
  <Override PartName="/word/embeddings/Microsoft_Excel_Worksheet3.xlsx" ContentType="application/vnd.openxmlformats-officedocument.spreadsheetml.sheet"/>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197184" w:rsidRPr="00E4782C" w:rsidP="00612243" w14:paraId="4DA512D4" w14:textId="0BF3426B">
      <w:pPr>
        <w:pStyle w:val="Biont11articletype"/>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Article</w:t>
      </w:r>
    </w:p>
    <w:p w:rsidR="00C02E39" w:rsidRPr="00E4782C" w:rsidP="00612243" w14:paraId="519E5B88" w14:textId="77777777">
      <w:pPr>
        <w:pStyle w:val="Biont12title"/>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 xml:space="preserve">Effect Of </w:t>
      </w:r>
      <w:r w:rsidRPr="00E4782C">
        <w:rPr>
          <w:rFonts w:asciiTheme="majorBidi" w:hAnsiTheme="majorBidi" w:cstheme="majorBidi"/>
          <w:color w:val="0D0D0D" w:themeColor="text1" w:themeTint="F2"/>
        </w:rPr>
        <w:t>Paracetamol(</w:t>
      </w:r>
      <w:r w:rsidRPr="00E4782C">
        <w:rPr>
          <w:rFonts w:asciiTheme="majorBidi" w:hAnsiTheme="majorBidi" w:cstheme="majorBidi"/>
          <w:color w:val="0D0D0D" w:themeColor="text1" w:themeTint="F2"/>
        </w:rPr>
        <w:t>Acetaminophen) Toxicity On Oxidative Stress and Antioxidant Enzymes In Albino Rats</w:t>
      </w:r>
    </w:p>
    <w:p w:rsidR="00C02E39" w:rsidRPr="00E4782C" w:rsidP="00C02E39" w14:paraId="7FCA5219" w14:textId="5A190C07">
      <w:pPr>
        <w:pStyle w:val="Biont13authornames"/>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Abdulazeez</w:t>
      </w:r>
      <w:r w:rsidRPr="00E4782C">
        <w:rPr>
          <w:rFonts w:asciiTheme="majorBidi" w:hAnsiTheme="majorBidi" w:cstheme="majorBidi"/>
          <w:color w:val="0D0D0D" w:themeColor="text1" w:themeTint="F2"/>
        </w:rPr>
        <w:t xml:space="preserve"> Mohammed </w:t>
      </w:r>
      <w:r w:rsidR="00DC6C46">
        <w:rPr>
          <w:rFonts w:asciiTheme="majorBidi" w:hAnsiTheme="majorBidi" w:cstheme="majorBidi"/>
          <w:color w:val="0D0D0D" w:themeColor="text1" w:themeTint="F2"/>
        </w:rPr>
        <w:t>H</w:t>
      </w:r>
      <w:r w:rsidRPr="00E4782C">
        <w:rPr>
          <w:rFonts w:asciiTheme="majorBidi" w:hAnsiTheme="majorBidi" w:cstheme="majorBidi"/>
          <w:color w:val="0D0D0D" w:themeColor="text1" w:themeTint="F2"/>
        </w:rPr>
        <w:t>ussein</w:t>
      </w:r>
      <w:r w:rsidRPr="00E4782C" w:rsidR="00CE6572">
        <w:rPr>
          <w:rFonts w:asciiTheme="majorBidi" w:hAnsiTheme="majorBidi" w:cstheme="majorBidi"/>
          <w:color w:val="0D0D0D" w:themeColor="text1" w:themeTint="F2"/>
          <w:vertAlign w:val="superscript"/>
        </w:rPr>
        <w:t>1,*</w:t>
      </w:r>
      <w:r w:rsidRPr="00E4782C" w:rsidR="00CE6572">
        <w:rPr>
          <w:rFonts w:asciiTheme="majorBidi" w:hAnsiTheme="majorBidi" w:cstheme="majorBidi"/>
          <w:color w:val="0D0D0D" w:themeColor="text1" w:themeTint="F2"/>
        </w:rPr>
        <w:t xml:space="preserve">, </w:t>
      </w:r>
      <w:r w:rsidRPr="00E4782C" w:rsidR="00CE6572">
        <w:rPr>
          <w:rFonts w:asciiTheme="majorBidi" w:hAnsiTheme="majorBidi" w:cstheme="majorBidi"/>
          <w:color w:val="0D0D0D" w:themeColor="text1" w:themeTint="F2"/>
        </w:rPr>
        <w:t>Siham</w:t>
      </w:r>
      <w:r w:rsidRPr="00E4782C" w:rsidR="00CE6572">
        <w:rPr>
          <w:rFonts w:asciiTheme="majorBidi" w:hAnsiTheme="majorBidi" w:cstheme="majorBidi"/>
          <w:color w:val="0D0D0D" w:themeColor="text1" w:themeTint="F2"/>
        </w:rPr>
        <w:t xml:space="preserve"> Wadee</w:t>
      </w:r>
      <w:r w:rsidRPr="00E4782C" w:rsidR="00CE6572">
        <w:rPr>
          <w:rFonts w:asciiTheme="majorBidi" w:hAnsiTheme="majorBidi" w:cstheme="majorBidi"/>
          <w:color w:val="0D0D0D" w:themeColor="text1" w:themeTint="F2"/>
          <w:vertAlign w:val="superscript"/>
        </w:rPr>
        <w:t>2</w:t>
      </w:r>
      <w:r w:rsidRPr="00E4782C" w:rsidR="00CE6572">
        <w:rPr>
          <w:rFonts w:asciiTheme="majorBidi" w:hAnsiTheme="majorBidi" w:cstheme="majorBidi"/>
          <w:color w:val="0D0D0D" w:themeColor="text1" w:themeTint="F2"/>
        </w:rPr>
        <w:t xml:space="preserve"> and </w:t>
      </w:r>
      <w:r w:rsidRPr="00E4782C" w:rsidR="00CE6572">
        <w:rPr>
          <w:rFonts w:asciiTheme="majorBidi" w:hAnsiTheme="majorBidi" w:cstheme="majorBidi"/>
          <w:color w:val="0D0D0D" w:themeColor="text1" w:themeTint="F2"/>
        </w:rPr>
        <w:t>Dakheel</w:t>
      </w:r>
      <w:r w:rsidRPr="00E4782C" w:rsidR="00CE6572">
        <w:rPr>
          <w:rFonts w:asciiTheme="majorBidi" w:hAnsiTheme="majorBidi" w:cstheme="majorBidi"/>
          <w:color w:val="0D0D0D" w:themeColor="text1" w:themeTint="F2"/>
        </w:rPr>
        <w:t xml:space="preserve"> Hussein Hadree</w:t>
      </w:r>
      <w:r w:rsidRPr="00E4782C" w:rsidR="00CE6572">
        <w:rPr>
          <w:rFonts w:asciiTheme="majorBidi" w:hAnsiTheme="majorBidi" w:cstheme="majorBidi"/>
          <w:color w:val="0D0D0D" w:themeColor="text1" w:themeTint="F2"/>
          <w:vertAlign w:val="superscript"/>
        </w:rPr>
        <w:t>3</w:t>
      </w:r>
      <w:r w:rsidRPr="00E4782C" w:rsidR="00CE6572">
        <w:rPr>
          <w:rFonts w:asciiTheme="majorBidi" w:hAnsiTheme="majorBidi" w:cstheme="majorBidi"/>
          <w:color w:val="0D0D0D" w:themeColor="text1" w:themeTint="F2"/>
        </w:rPr>
        <w:t>.</w:t>
      </w:r>
      <w:r w:rsidRPr="00E4782C">
        <w:rPr>
          <w:rFonts w:asciiTheme="majorBidi" w:hAnsiTheme="majorBidi" w:cstheme="majorBidi"/>
          <w:color w:val="0D0D0D" w:themeColor="text1" w:themeTint="F2"/>
        </w:rPr>
        <w:t xml:space="preserve">  </w:t>
      </w:r>
    </w:p>
    <w:p w:rsidR="00CE6572" w:rsidRPr="00E4782C" w:rsidP="00CE6572" w14:paraId="3470D9E9" w14:textId="4A8B0B16">
      <w:pPr>
        <w:pStyle w:val="Biont16affiliation"/>
        <w:rPr>
          <w:rFonts w:asciiTheme="majorBidi" w:hAnsiTheme="majorBidi" w:cstheme="majorBidi"/>
          <w:color w:val="0D0D0D" w:themeColor="text1" w:themeTint="F2"/>
        </w:rPr>
      </w:pPr>
      <w:r w:rsidRPr="00E4782C">
        <w:rPr>
          <w:rFonts w:asciiTheme="majorBidi" w:hAnsiTheme="majorBidi" w:cstheme="majorBidi"/>
          <w:color w:val="0D0D0D" w:themeColor="text1" w:themeTint="F2"/>
          <w:vertAlign w:val="superscript"/>
        </w:rPr>
        <w:t>1</w:t>
      </w:r>
      <w:r w:rsidRPr="00E4782C">
        <w:rPr>
          <w:rFonts w:asciiTheme="majorBidi" w:hAnsiTheme="majorBidi" w:cstheme="majorBidi"/>
          <w:color w:val="0D0D0D" w:themeColor="text1" w:themeTint="F2"/>
        </w:rPr>
        <w:tab/>
        <w:t>Department of Pharmacology, College of Veterinary Medicine, Tikrit University; abdulaziz1994hussein1994@gmail.com.</w:t>
      </w:r>
    </w:p>
    <w:p w:rsidR="00CE6572" w:rsidRPr="00E4782C" w:rsidP="00CE6572" w14:paraId="686496A2" w14:textId="29C09E5C">
      <w:pPr>
        <w:pStyle w:val="Biont16affiliation"/>
        <w:rPr>
          <w:rFonts w:asciiTheme="majorBidi" w:hAnsiTheme="majorBidi" w:cstheme="majorBidi"/>
          <w:color w:val="0D0D0D" w:themeColor="text1" w:themeTint="F2"/>
        </w:rPr>
      </w:pPr>
      <w:r w:rsidRPr="00E4782C">
        <w:rPr>
          <w:rFonts w:asciiTheme="majorBidi" w:hAnsiTheme="majorBidi" w:cstheme="majorBidi"/>
          <w:color w:val="0D0D0D" w:themeColor="text1" w:themeTint="F2"/>
          <w:vertAlign w:val="superscript"/>
        </w:rPr>
        <w:t>2</w:t>
      </w:r>
      <w:r w:rsidRPr="00E4782C">
        <w:rPr>
          <w:rFonts w:asciiTheme="majorBidi" w:hAnsiTheme="majorBidi" w:cstheme="majorBidi"/>
          <w:color w:val="0D0D0D" w:themeColor="text1" w:themeTint="F2"/>
        </w:rPr>
        <w:tab/>
        <w:t>Department of Pharmacology, College of Veterinary Medicine, Tikrit University; Sihamwadee@tu.edu.iq.</w:t>
      </w:r>
    </w:p>
    <w:p w:rsidR="00CE6572" w:rsidRPr="00E4782C" w:rsidP="00CE6572" w14:paraId="4BED3364" w14:textId="31A06F7D">
      <w:pPr>
        <w:pStyle w:val="Biont16affiliation"/>
        <w:rPr>
          <w:rFonts w:asciiTheme="majorBidi" w:hAnsiTheme="majorBidi" w:cstheme="majorBidi"/>
          <w:color w:val="0D0D0D" w:themeColor="text1" w:themeTint="F2"/>
        </w:rPr>
      </w:pPr>
      <w:r w:rsidRPr="00E4782C">
        <w:rPr>
          <w:rFonts w:asciiTheme="majorBidi" w:hAnsiTheme="majorBidi" w:cstheme="majorBidi"/>
          <w:color w:val="0D0D0D" w:themeColor="text1" w:themeTint="F2"/>
          <w:vertAlign w:val="superscript"/>
        </w:rPr>
        <w:t>3</w:t>
      </w:r>
      <w:r w:rsidRPr="00E4782C">
        <w:rPr>
          <w:rFonts w:asciiTheme="majorBidi" w:hAnsiTheme="majorBidi" w:cstheme="majorBidi"/>
          <w:color w:val="0D0D0D" w:themeColor="text1" w:themeTint="F2"/>
        </w:rPr>
        <w:tab/>
        <w:t>Department of Pharmacology, College of Veterinary Medicine, Tikrit University; dakeel1981@tu.edu.iq.</w:t>
      </w:r>
    </w:p>
    <w:p w:rsidR="00197184" w:rsidRPr="00E4782C" w:rsidP="00CE6572" w14:paraId="57C07123" w14:textId="4D988A89">
      <w:pPr>
        <w:pStyle w:val="Biont16affiliation"/>
        <w:rPr>
          <w:rFonts w:asciiTheme="majorBidi" w:hAnsiTheme="majorBidi" w:cstheme="majorBidi"/>
          <w:color w:val="0D0D0D" w:themeColor="text1" w:themeTint="F2"/>
        </w:rPr>
      </w:pPr>
      <w:r w:rsidRPr="00E4782C">
        <w:rPr>
          <w:rFonts w:asciiTheme="majorBidi" w:hAnsiTheme="majorBidi" w:cstheme="majorBidi"/>
          <w:b/>
          <w:color w:val="0D0D0D" w:themeColor="text1" w:themeTint="F2"/>
        </w:rPr>
        <w:t>*</w:t>
      </w:r>
      <w:r w:rsidRPr="00E4782C">
        <w:rPr>
          <w:rFonts w:asciiTheme="majorBidi" w:hAnsiTheme="majorBidi" w:cstheme="majorBidi"/>
          <w:color w:val="0D0D0D" w:themeColor="text1" w:themeTint="F2"/>
        </w:rPr>
        <w:tab/>
        <w:t xml:space="preserve">Correspondence: </w:t>
      </w:r>
      <w:r w:rsidRPr="00E4782C" w:rsidR="00C02E39">
        <w:rPr>
          <w:rFonts w:asciiTheme="majorBidi" w:hAnsiTheme="majorBidi" w:cstheme="majorBidi"/>
          <w:color w:val="0D0D0D" w:themeColor="text1" w:themeTint="F2"/>
        </w:rPr>
        <w:t>abdulaziz1994hussein1994@gmail.com</w:t>
      </w:r>
      <w:r w:rsidRPr="00E4782C">
        <w:rPr>
          <w:rFonts w:asciiTheme="majorBidi" w:hAnsiTheme="majorBidi" w:cstheme="majorBidi"/>
          <w:color w:val="0D0D0D" w:themeColor="text1" w:themeTint="F2"/>
        </w:rPr>
        <w:t>.</w:t>
      </w:r>
    </w:p>
    <w:p w:rsidR="00D8341A" w:rsidRPr="00E4782C" w:rsidP="00CE6572" w14:paraId="5EDA628B" w14:textId="5A8B6163">
      <w:pPr>
        <w:pStyle w:val="Biont17abstract"/>
        <w:rPr>
          <w:rFonts w:asciiTheme="majorBidi" w:hAnsiTheme="majorBidi" w:cstheme="majorBidi"/>
          <w:color w:val="0D0D0D" w:themeColor="text1" w:themeTint="F2"/>
        </w:rPr>
      </w:pPr>
      <w:r w:rsidRPr="00E4782C">
        <w:rPr>
          <w:rFonts w:asciiTheme="majorBidi" w:hAnsiTheme="majorBidi" w:cstheme="majorBidi"/>
          <w:b/>
          <w:bCs/>
          <w:color w:val="0D0D0D" w:themeColor="text1" w:themeTint="F2"/>
        </w:rPr>
        <w:t>Abstract:</w:t>
      </w:r>
      <w:r w:rsidRPr="00E4782C">
        <w:rPr>
          <w:rFonts w:asciiTheme="majorBidi" w:hAnsiTheme="majorBidi" w:cstheme="majorBidi"/>
          <w:color w:val="0D0D0D" w:themeColor="text1" w:themeTint="F2"/>
        </w:rPr>
        <w:t xml:space="preserve"> </w:t>
      </w:r>
      <w:r w:rsidRPr="00E4782C" w:rsidR="00C02E39">
        <w:rPr>
          <w:rFonts w:asciiTheme="majorBidi" w:hAnsiTheme="majorBidi" w:cstheme="majorBidi"/>
          <w:color w:val="0D0D0D" w:themeColor="text1" w:themeTint="F2"/>
        </w:rPr>
        <w:t xml:space="preserve">This study aimed to investigate the impact of paracetamol on oxidative stress and </w:t>
      </w:r>
      <w:r w:rsidRPr="00E4782C" w:rsidR="00C02E39">
        <w:rPr>
          <w:rFonts w:asciiTheme="majorBidi" w:hAnsiTheme="majorBidi" w:cstheme="majorBidi"/>
          <w:color w:val="0D0D0D" w:themeColor="text1" w:themeTint="F2"/>
        </w:rPr>
        <w:t>som</w:t>
      </w:r>
      <w:r w:rsidRPr="00E4782C" w:rsidR="00C02E39">
        <w:rPr>
          <w:rFonts w:asciiTheme="majorBidi" w:hAnsiTheme="majorBidi" w:cstheme="majorBidi"/>
          <w:color w:val="0D0D0D" w:themeColor="text1" w:themeTint="F2"/>
        </w:rPr>
        <w:t xml:space="preserve">e antioxidant markers in male </w:t>
      </w:r>
      <w:r w:rsidRPr="00E4782C" w:rsidR="00C02E39">
        <w:rPr>
          <w:rFonts w:asciiTheme="majorBidi" w:hAnsiTheme="majorBidi" w:cstheme="majorBidi"/>
          <w:color w:val="0D0D0D" w:themeColor="text1" w:themeTint="F2"/>
        </w:rPr>
        <w:t>rabbits.Methods</w:t>
      </w:r>
      <w:r w:rsidRPr="00E4782C" w:rsidR="00C02E39">
        <w:rPr>
          <w:rFonts w:asciiTheme="majorBidi" w:hAnsiTheme="majorBidi" w:cstheme="majorBidi"/>
          <w:color w:val="0D0D0D" w:themeColor="text1" w:themeTint="F2"/>
        </w:rPr>
        <w:t>:</w:t>
      </w:r>
      <w:r w:rsidRPr="00E4782C" w:rsidR="00C02E39">
        <w:rPr>
          <w:rFonts w:asciiTheme="majorBidi" w:hAnsiTheme="majorBidi" w:cstheme="majorBidi"/>
          <w:color w:val="0D0D0D" w:themeColor="text1" w:themeTint="F2"/>
        </w:rPr>
        <w:t xml:space="preserve"> 30 growing rats reared under high ambient temperature were divided into three equal groups, 10 rats. The control </w:t>
      </w:r>
      <w:r w:rsidRPr="00E4782C" w:rsidR="00C02E39">
        <w:rPr>
          <w:rFonts w:asciiTheme="majorBidi" w:hAnsiTheme="majorBidi" w:cstheme="majorBidi"/>
          <w:color w:val="0D0D0D" w:themeColor="text1" w:themeTint="F2"/>
        </w:rPr>
        <w:t>was administered</w:t>
      </w:r>
      <w:r w:rsidRPr="00E4782C" w:rsidR="00C02E39">
        <w:rPr>
          <w:rFonts w:asciiTheme="majorBidi" w:hAnsiTheme="majorBidi" w:cstheme="majorBidi"/>
          <w:color w:val="0D0D0D" w:themeColor="text1" w:themeTint="F2"/>
        </w:rPr>
        <w:t xml:space="preserve"> with normal saline in the first group, and the second and third groups were paracetamol-treated rats (1000 &amp; 2000 mg/kg </w:t>
      </w:r>
      <w:r w:rsidRPr="00E4782C" w:rsidR="00C02E39">
        <w:rPr>
          <w:rFonts w:asciiTheme="majorBidi" w:hAnsiTheme="majorBidi" w:cstheme="majorBidi"/>
          <w:color w:val="0D0D0D" w:themeColor="text1" w:themeTint="F2"/>
        </w:rPr>
        <w:t>b.w.</w:t>
      </w:r>
      <w:r w:rsidRPr="00E4782C" w:rsidR="00C02E39">
        <w:rPr>
          <w:rFonts w:asciiTheme="majorBidi" w:hAnsiTheme="majorBidi" w:cstheme="majorBidi"/>
          <w:color w:val="0D0D0D" w:themeColor="text1" w:themeTint="F2"/>
        </w:rPr>
        <w:t xml:space="preserve"> orally) for 30. Blood samples were withdrawn to measure serum Glutathione (GSH), malondialdehyde (MDA), Superoxide dismutase (SOD), and catalase (CAT), and activities were </w:t>
      </w:r>
      <w:r w:rsidRPr="00E4782C" w:rsidR="00C02E39">
        <w:rPr>
          <w:rFonts w:asciiTheme="majorBidi" w:hAnsiTheme="majorBidi" w:cstheme="majorBidi"/>
          <w:color w:val="0D0D0D" w:themeColor="text1" w:themeTint="F2"/>
        </w:rPr>
        <w:t>assayed. Results:</w:t>
      </w:r>
      <w:r w:rsidRPr="00E4782C" w:rsidR="00C02E39">
        <w:rPr>
          <w:rFonts w:asciiTheme="majorBidi" w:hAnsiTheme="majorBidi" w:cstheme="majorBidi"/>
          <w:color w:val="0D0D0D" w:themeColor="text1" w:themeTint="F2"/>
        </w:rPr>
        <w:t xml:space="preserve"> In the paracetamol-treated group, significant increases in malondialdehyde (MDA) levels and significant decreases in catalase (CAT), glutathione, SOD, and GSH levels compared to the control </w:t>
      </w:r>
      <w:r w:rsidRPr="00E4782C" w:rsidR="00C02E39">
        <w:rPr>
          <w:rFonts w:asciiTheme="majorBidi" w:hAnsiTheme="majorBidi" w:cstheme="majorBidi"/>
          <w:color w:val="0D0D0D" w:themeColor="text1" w:themeTint="F2"/>
        </w:rPr>
        <w:t>group.Conclusion</w:t>
      </w:r>
      <w:r w:rsidRPr="00E4782C" w:rsidR="00C02E39">
        <w:rPr>
          <w:rFonts w:asciiTheme="majorBidi" w:hAnsiTheme="majorBidi" w:cstheme="majorBidi"/>
          <w:color w:val="0D0D0D" w:themeColor="text1" w:themeTint="F2"/>
        </w:rPr>
        <w:t xml:space="preserve">: paracetamol administration produces noticeable biochemical changes in a </w:t>
      </w:r>
      <w:r w:rsidRPr="00E4782C" w:rsidR="00C02E39">
        <w:rPr>
          <w:rFonts w:asciiTheme="majorBidi" w:hAnsiTheme="majorBidi" w:cstheme="majorBidi"/>
          <w:color w:val="0D0D0D" w:themeColor="text1" w:themeTint="F2"/>
        </w:rPr>
        <w:t>dose-dependent</w:t>
      </w:r>
      <w:r w:rsidRPr="00E4782C" w:rsidR="00C02E39">
        <w:rPr>
          <w:rFonts w:asciiTheme="majorBidi" w:hAnsiTheme="majorBidi" w:cstheme="majorBidi"/>
          <w:color w:val="0D0D0D" w:themeColor="text1" w:themeTint="F2"/>
        </w:rPr>
        <w:t xml:space="preserve"> manner associated with increased oxidative stress markers and decreased antioxidative activity.</w:t>
      </w:r>
    </w:p>
    <w:tbl>
      <w:tblPr>
        <w:tblpPr w:leftFromText="198" w:rightFromText="198" w:vertAnchor="page" w:horzAnchor="margin" w:tblpY="7396"/>
        <w:tblW w:w="2415" w:type="dxa"/>
        <w:tblLayout w:type="fixed"/>
        <w:tblCellMar>
          <w:left w:w="0" w:type="dxa"/>
          <w:right w:w="0" w:type="dxa"/>
        </w:tblCellMar>
        <w:tblLook w:val="04A0"/>
      </w:tblPr>
      <w:tblGrid>
        <w:gridCol w:w="2415"/>
      </w:tblGrid>
      <w:tr w14:paraId="3581AEC8" w14:textId="77777777" w:rsidTr="00DA17B5">
        <w:tblPrEx>
          <w:tblW w:w="2415" w:type="dxa"/>
          <w:tblLayout w:type="fixed"/>
          <w:tblCellMar>
            <w:left w:w="0" w:type="dxa"/>
            <w:right w:w="0" w:type="dxa"/>
          </w:tblCellMar>
          <w:tblLook w:val="04A0"/>
        </w:tblPrEx>
        <w:trPr>
          <w:trHeight w:val="5970"/>
        </w:trPr>
        <w:tc>
          <w:tcPr>
            <w:tcW w:w="2415" w:type="dxa"/>
            <w:hideMark/>
          </w:tcPr>
          <w:p w:rsidR="00DC6C46" w:rsidRPr="00E4782C" w:rsidP="00DC6C46" w14:paraId="414D3151" w14:textId="7814804E">
            <w:pPr>
              <w:pStyle w:val="Biont61Citation"/>
              <w:spacing w:line="240" w:lineRule="exact"/>
              <w:rPr>
                <w:rFonts w:asciiTheme="majorBidi" w:hAnsiTheme="majorBidi" w:cstheme="majorBidi"/>
                <w:color w:val="0D0D0D" w:themeColor="text1" w:themeTint="F2"/>
              </w:rPr>
            </w:pPr>
            <w:r w:rsidRPr="00DC6C46">
              <w:rPr>
                <w:rFonts w:asciiTheme="majorBidi" w:hAnsiTheme="majorBidi" w:cstheme="majorBidi"/>
                <w:color w:val="0D0D0D" w:themeColor="text1" w:themeTint="F2"/>
              </w:rPr>
              <w:t>Citation:</w:t>
            </w:r>
            <w:r w:rsidRPr="00E4782C">
              <w:rPr>
                <w:rFonts w:asciiTheme="majorBidi" w:hAnsiTheme="majorBidi" w:cstheme="majorBidi"/>
                <w:color w:val="0D0D0D" w:themeColor="text1" w:themeTint="F2"/>
              </w:rPr>
              <w:t xml:space="preserve"> </w:t>
            </w:r>
            <w:r>
              <w:rPr>
                <w:rFonts w:asciiTheme="majorBidi" w:hAnsiTheme="majorBidi" w:cstheme="majorBidi"/>
                <w:color w:val="0D0D0D" w:themeColor="text1" w:themeTint="F2"/>
              </w:rPr>
              <w:t xml:space="preserve"> </w:t>
            </w:r>
            <w:r>
              <w:rPr>
                <w:rFonts w:asciiTheme="majorBidi" w:hAnsiTheme="majorBidi" w:cstheme="majorBidi"/>
                <w:color w:val="0D0D0D" w:themeColor="text1" w:themeTint="F2"/>
              </w:rPr>
              <w:t>H</w:t>
            </w:r>
            <w:r w:rsidRPr="00E4782C">
              <w:rPr>
                <w:rFonts w:asciiTheme="majorBidi" w:hAnsiTheme="majorBidi" w:cstheme="majorBidi"/>
                <w:color w:val="0D0D0D" w:themeColor="text1" w:themeTint="F2"/>
              </w:rPr>
              <w:t>ussein</w:t>
            </w:r>
            <w:r w:rsidRPr="00E4782C">
              <w:rPr>
                <w:rFonts w:asciiTheme="majorBidi" w:hAnsiTheme="majorBidi" w:cstheme="majorBidi"/>
                <w:color w:val="0D0D0D" w:themeColor="text1" w:themeTint="F2"/>
              </w:rPr>
              <w:t>,</w:t>
            </w:r>
            <w:r w:rsidRPr="00E4782C">
              <w:rPr>
                <w:rFonts w:asciiTheme="majorBidi" w:hAnsiTheme="majorBidi" w:cstheme="majorBidi"/>
                <w:color w:val="0D0D0D" w:themeColor="text1" w:themeTint="F2"/>
              </w:rPr>
              <w:t xml:space="preserve"> </w:t>
            </w:r>
            <w:r>
              <w:rPr>
                <w:rFonts w:asciiTheme="majorBidi" w:hAnsiTheme="majorBidi" w:cstheme="majorBidi"/>
                <w:color w:val="0D0D0D" w:themeColor="text1" w:themeTint="F2"/>
              </w:rPr>
              <w:t>A.M</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Wadee</w:t>
            </w:r>
            <w:r w:rsidRPr="00E4782C">
              <w:rPr>
                <w:rFonts w:asciiTheme="majorBidi" w:hAnsiTheme="majorBidi" w:cstheme="majorBidi"/>
                <w:color w:val="0D0D0D" w:themeColor="text1" w:themeTint="F2"/>
              </w:rPr>
              <w:t xml:space="preserve">, </w:t>
            </w:r>
            <w:r>
              <w:rPr>
                <w:rFonts w:asciiTheme="majorBidi" w:hAnsiTheme="majorBidi" w:cstheme="majorBidi"/>
                <w:color w:val="0D0D0D" w:themeColor="text1" w:themeTint="F2"/>
              </w:rPr>
              <w:t>S</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Hadree</w:t>
            </w:r>
            <w:r w:rsidRPr="00E4782C">
              <w:rPr>
                <w:rFonts w:asciiTheme="majorBidi" w:hAnsiTheme="majorBidi" w:cstheme="majorBidi"/>
                <w:color w:val="0D0D0D" w:themeColor="text1" w:themeTint="F2"/>
              </w:rPr>
              <w:t xml:space="preserve">, </w:t>
            </w:r>
            <w:r>
              <w:rPr>
                <w:rFonts w:asciiTheme="majorBidi" w:hAnsiTheme="majorBidi" w:cstheme="majorBidi"/>
                <w:color w:val="0D0D0D" w:themeColor="text1" w:themeTint="F2"/>
              </w:rPr>
              <w:t>D.H</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 xml:space="preserve">Effect Of </w:t>
            </w:r>
            <w:r w:rsidRPr="00E4782C">
              <w:rPr>
                <w:rFonts w:asciiTheme="majorBidi" w:hAnsiTheme="majorBidi" w:cstheme="majorBidi"/>
                <w:color w:val="0D0D0D" w:themeColor="text1" w:themeTint="F2"/>
              </w:rPr>
              <w:t>Paracetamol(</w:t>
            </w:r>
            <w:r w:rsidRPr="00E4782C">
              <w:rPr>
                <w:rFonts w:asciiTheme="majorBidi" w:hAnsiTheme="majorBidi" w:cstheme="majorBidi"/>
                <w:color w:val="0D0D0D" w:themeColor="text1" w:themeTint="F2"/>
              </w:rPr>
              <w:t>Acetaminophen) Toxicity On Oxidative Stress and Antioxidant Enzymes In Albino Rats</w:t>
            </w:r>
          </w:p>
          <w:p w:rsidR="00DA17B5" w:rsidRPr="00DC6C46" w:rsidP="00DA17B5" w14:paraId="4DAD0104" w14:textId="4969BA14">
            <w:pPr>
              <w:pStyle w:val="Biont61Citation"/>
              <w:spacing w:line="240" w:lineRule="exact"/>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 xml:space="preserve">. </w:t>
            </w:r>
            <w:r w:rsidRPr="00DC6C46">
              <w:rPr>
                <w:rFonts w:asciiTheme="majorBidi" w:hAnsiTheme="majorBidi" w:cstheme="majorBidi"/>
                <w:color w:val="0D0D0D" w:themeColor="text1" w:themeTint="F2"/>
              </w:rPr>
              <w:t xml:space="preserve">Revista </w:t>
            </w:r>
            <w:r w:rsidRPr="00DC6C46">
              <w:rPr>
                <w:rFonts w:asciiTheme="majorBidi" w:hAnsiTheme="majorBidi" w:cstheme="majorBidi"/>
                <w:color w:val="0D0D0D" w:themeColor="text1" w:themeTint="F2"/>
              </w:rPr>
              <w:t>Bionatura</w:t>
            </w:r>
            <w:r w:rsidRPr="00DC6C46">
              <w:rPr>
                <w:rFonts w:asciiTheme="majorBidi" w:hAnsiTheme="majorBidi" w:cstheme="majorBidi"/>
                <w:color w:val="0D0D0D" w:themeColor="text1" w:themeTint="F2"/>
              </w:rPr>
              <w:t xml:space="preserve"> 2021, 13, x. https://doi.org/10.21931/xxxxx</w:t>
            </w:r>
          </w:p>
          <w:p w:rsidR="00DA17B5" w:rsidRPr="00E4782C" w:rsidP="00DC6C46" w14:paraId="010CC9B4" w14:textId="77777777">
            <w:pPr>
              <w:pStyle w:val="Biont61Citation"/>
              <w:spacing w:line="240" w:lineRule="exact"/>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 xml:space="preserve">Academic Editor: </w:t>
            </w:r>
            <w:r w:rsidRPr="00E4782C">
              <w:rPr>
                <w:rFonts w:asciiTheme="majorBidi" w:hAnsiTheme="majorBidi" w:cstheme="majorBidi"/>
                <w:color w:val="0D0D0D" w:themeColor="text1" w:themeTint="F2"/>
              </w:rPr>
              <w:t>Firstname</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Lastname</w:t>
            </w:r>
          </w:p>
          <w:p w:rsidR="00DA17B5" w:rsidRPr="00E4782C" w:rsidP="00DC6C46" w14:paraId="62A2AA4C" w14:textId="77777777">
            <w:pPr>
              <w:pStyle w:val="Biont61Citation"/>
              <w:spacing w:line="240" w:lineRule="exact"/>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Received: date</w:t>
            </w:r>
          </w:p>
          <w:p w:rsidR="00DA17B5" w:rsidRPr="00E4782C" w:rsidP="00DC6C46" w14:paraId="156C1063" w14:textId="77777777">
            <w:pPr>
              <w:pStyle w:val="Biont61Citation"/>
              <w:spacing w:line="240" w:lineRule="exact"/>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Accepted: date</w:t>
            </w:r>
          </w:p>
          <w:p w:rsidR="00DA17B5" w:rsidRPr="00E4782C" w:rsidP="00DC6C46" w14:paraId="6DBD5EAF" w14:textId="77777777">
            <w:pPr>
              <w:pStyle w:val="Biont61Citation"/>
              <w:spacing w:line="240" w:lineRule="exact"/>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Published: date</w:t>
            </w:r>
          </w:p>
          <w:p w:rsidR="00DA17B5" w:rsidRPr="00E4782C" w:rsidP="00DA17B5" w14:paraId="14E64CAC" w14:textId="77777777">
            <w:pPr>
              <w:pStyle w:val="Biont63Notes"/>
              <w:jc w:val="both"/>
              <w:rPr>
                <w:rFonts w:asciiTheme="majorBidi" w:hAnsiTheme="majorBidi" w:cstheme="majorBidi"/>
                <w:color w:val="0D0D0D" w:themeColor="text1" w:themeTint="F2"/>
                <w:lang w:eastAsia="zh-CN"/>
              </w:rPr>
            </w:pPr>
            <w:r w:rsidRPr="00E4782C">
              <w:rPr>
                <w:rFonts w:asciiTheme="majorBidi" w:hAnsiTheme="majorBidi" w:cstheme="majorBidi"/>
                <w:b/>
                <w:color w:val="0D0D0D" w:themeColor="text1" w:themeTint="F2"/>
                <w:lang w:eastAsia="zh-CN"/>
              </w:rPr>
              <w:t>Publisher’s Note:</w:t>
            </w:r>
            <w:r w:rsidRPr="00E4782C">
              <w:rPr>
                <w:rFonts w:asciiTheme="majorBidi" w:hAnsiTheme="majorBidi" w:cstheme="majorBidi"/>
                <w:color w:val="0D0D0D" w:themeColor="text1" w:themeTint="F2"/>
                <w:lang w:eastAsia="zh-CN"/>
              </w:rPr>
              <w:t xml:space="preserve"> </w:t>
            </w:r>
            <w:r w:rsidRPr="00E4782C">
              <w:rPr>
                <w:rFonts w:asciiTheme="majorBidi" w:hAnsiTheme="majorBidi" w:cstheme="majorBidi"/>
                <w:color w:val="0D0D0D" w:themeColor="text1" w:themeTint="F2"/>
                <w:lang w:eastAsia="zh-CN"/>
              </w:rPr>
              <w:t>Bionatura</w:t>
            </w:r>
            <w:r w:rsidRPr="00E4782C">
              <w:rPr>
                <w:rFonts w:asciiTheme="majorBidi" w:hAnsiTheme="majorBidi" w:cstheme="majorBidi"/>
                <w:color w:val="0D0D0D" w:themeColor="text1" w:themeTint="F2"/>
                <w:lang w:eastAsia="zh-CN"/>
              </w:rPr>
              <w:t xml:space="preserve"> stays neutral with regard to jurisdictional claims in published maps and institutional affiliations.</w:t>
            </w:r>
          </w:p>
          <w:p w:rsidR="00DA17B5" w:rsidRPr="00E4782C" w:rsidP="00DA17B5" w14:paraId="621827F1" w14:textId="77777777">
            <w:pPr>
              <w:adjustRightInd w:val="0"/>
              <w:snapToGrid w:val="0"/>
              <w:spacing w:before="240" w:line="240" w:lineRule="atLeast"/>
              <w:ind w:right="113"/>
              <w:rPr>
                <w:rFonts w:eastAsia="DengXian" w:asciiTheme="majorBidi" w:hAnsiTheme="majorBidi" w:cstheme="majorBidi"/>
                <w:bCs/>
                <w:color w:val="0D0D0D" w:themeColor="text1" w:themeTint="F2"/>
                <w:sz w:val="14"/>
                <w:szCs w:val="14"/>
                <w:lang w:bidi="en-US"/>
              </w:rPr>
            </w:pPr>
            <w:r w:rsidRPr="00E4782C">
              <w:rPr>
                <w:rFonts w:eastAsia="DengXian" w:asciiTheme="majorBidi" w:hAnsiTheme="majorBidi" w:cstheme="majorBidi"/>
                <w:color w:val="0D0D0D" w:themeColor="text1" w:themeTint="F2"/>
                <w:lang w:val="en-GB" w:eastAsia="en-GB"/>
              </w:rPr>
              <w:drawing>
                <wp:inline distT="0" distB="0" distL="0" distR="0">
                  <wp:extent cx="695325" cy="247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695325" cy="247650"/>
                          </a:xfrm>
                          <a:prstGeom prst="rect">
                            <a:avLst/>
                          </a:prstGeom>
                          <a:noFill/>
                          <a:ln>
                            <a:noFill/>
                          </a:ln>
                        </pic:spPr>
                      </pic:pic>
                    </a:graphicData>
                  </a:graphic>
                </wp:inline>
              </w:drawing>
            </w:r>
          </w:p>
          <w:p w:rsidR="00DA17B5" w:rsidRPr="00E4782C" w:rsidP="00DA17B5" w14:paraId="53C13100" w14:textId="77777777">
            <w:pPr>
              <w:adjustRightInd w:val="0"/>
              <w:snapToGrid w:val="0"/>
              <w:spacing w:before="60" w:line="240" w:lineRule="atLeast"/>
              <w:ind w:right="113"/>
              <w:rPr>
                <w:rFonts w:eastAsia="DengXian" w:asciiTheme="majorBidi" w:hAnsiTheme="majorBidi" w:cstheme="majorBidi"/>
                <w:bCs/>
                <w:color w:val="0D0D0D" w:themeColor="text1" w:themeTint="F2"/>
                <w:sz w:val="14"/>
                <w:szCs w:val="14"/>
                <w:lang w:bidi="en-US"/>
              </w:rPr>
            </w:pPr>
            <w:r w:rsidRPr="00E4782C">
              <w:rPr>
                <w:rFonts w:eastAsia="DengXian" w:asciiTheme="majorBidi" w:hAnsiTheme="majorBidi" w:cstheme="majorBidi"/>
                <w:b/>
                <w:bCs/>
                <w:color w:val="0D0D0D" w:themeColor="text1" w:themeTint="F2"/>
                <w:sz w:val="14"/>
                <w:szCs w:val="14"/>
                <w:lang w:bidi="en-US"/>
              </w:rPr>
              <w:t>Copyright:</w:t>
            </w:r>
            <w:r w:rsidRPr="00E4782C">
              <w:rPr>
                <w:rFonts w:eastAsia="DengXian" w:asciiTheme="majorBidi" w:hAnsiTheme="majorBidi" w:cstheme="majorBidi"/>
                <w:bCs/>
                <w:color w:val="0D0D0D" w:themeColor="text1" w:themeTint="F2"/>
                <w:sz w:val="14"/>
                <w:szCs w:val="14"/>
                <w:lang w:bidi="en-US"/>
              </w:rPr>
              <w:t xml:space="preserve"> © 2022 by the authors. Submitted for possible open-access publication under the terms and conditions of the Creative Commons Attribution (CC BY) license (https://creativecommons.org/licenses/by/4.0/).</w:t>
            </w:r>
          </w:p>
        </w:tc>
      </w:tr>
    </w:tbl>
    <w:p w:rsidR="00D8341A" w:rsidRPr="00E4782C" w:rsidP="00CE6572" w14:paraId="020AE05B" w14:textId="1F6F83DF">
      <w:pPr>
        <w:pStyle w:val="Biont18keywords"/>
        <w:rPr>
          <w:rFonts w:asciiTheme="majorBidi" w:hAnsiTheme="majorBidi" w:cstheme="majorBidi"/>
          <w:color w:val="0D0D0D" w:themeColor="text1" w:themeTint="F2"/>
        </w:rPr>
      </w:pPr>
      <w:r w:rsidRPr="00E4782C">
        <w:rPr>
          <w:rFonts w:asciiTheme="majorBidi" w:hAnsiTheme="majorBidi" w:cstheme="majorBidi"/>
          <w:b/>
          <w:bCs/>
          <w:color w:val="0D0D0D" w:themeColor="text1" w:themeTint="F2"/>
        </w:rPr>
        <w:t>Keywords</w:t>
      </w:r>
      <w:r w:rsidRPr="00E4782C" w:rsidR="00CE6572">
        <w:rPr>
          <w:rFonts w:asciiTheme="majorBidi" w:hAnsiTheme="majorBidi" w:cstheme="majorBidi"/>
          <w:b/>
          <w:bCs/>
          <w:color w:val="0D0D0D" w:themeColor="text1" w:themeTint="F2"/>
        </w:rPr>
        <w:t>:</w:t>
      </w:r>
      <w:r w:rsidRPr="00E4782C" w:rsidR="00CE6572">
        <w:rPr>
          <w:rFonts w:asciiTheme="majorBidi" w:hAnsiTheme="majorBidi" w:cstheme="majorBidi"/>
          <w:color w:val="0D0D0D" w:themeColor="text1" w:themeTint="F2"/>
        </w:rPr>
        <w:t xml:space="preserve"> Paracetamol; Malondialdehyde; Toxicity; </w:t>
      </w:r>
      <w:r w:rsidRPr="00E4782C" w:rsidR="00C02E39">
        <w:rPr>
          <w:rFonts w:asciiTheme="majorBidi" w:hAnsiTheme="majorBidi" w:cstheme="majorBidi"/>
          <w:color w:val="0D0D0D" w:themeColor="text1" w:themeTint="F2"/>
        </w:rPr>
        <w:t>GSH</w:t>
      </w:r>
      <w:r w:rsidRPr="00E4782C" w:rsidR="00CE6572">
        <w:rPr>
          <w:rFonts w:asciiTheme="majorBidi" w:hAnsiTheme="majorBidi" w:cstheme="majorBidi"/>
          <w:color w:val="0D0D0D" w:themeColor="text1" w:themeTint="F2"/>
        </w:rPr>
        <w:t>.</w:t>
      </w:r>
    </w:p>
    <w:p w:rsidR="00DA17B5" w:rsidRPr="00E4782C" w:rsidP="00CE6572" w14:paraId="14E71869" w14:textId="77777777">
      <w:pPr>
        <w:pStyle w:val="Biont19line"/>
        <w:rPr>
          <w:rFonts w:asciiTheme="majorBidi" w:hAnsiTheme="majorBidi" w:cstheme="majorBidi"/>
          <w:color w:val="0D0D0D" w:themeColor="text1" w:themeTint="F2"/>
        </w:rPr>
      </w:pPr>
    </w:p>
    <w:p w:rsidR="004F2805" w:rsidRPr="00E4782C" w:rsidP="00CE6572" w14:paraId="76342540" w14:textId="77777777">
      <w:pPr>
        <w:pStyle w:val="Biont21heading1"/>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1. Introduction</w:t>
      </w:r>
    </w:p>
    <w:p w:rsidR="00DA17B5" w:rsidRPr="00E4782C" w:rsidP="00CE6572" w14:paraId="26473257" w14:textId="471FD61C">
      <w:pPr>
        <w:pStyle w:val="Biont31text"/>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 xml:space="preserve">Minimizing toxicity remains one of the major barriers to bringing a drug to market. Approximately 92% of all developed compounds fail because of adverse effects of the candidate during clinical </w:t>
      </w:r>
      <w:r w:rsidRPr="00E4782C">
        <w:rPr>
          <w:rFonts w:asciiTheme="majorBidi" w:hAnsiTheme="majorBidi" w:cstheme="majorBidi"/>
          <w:color w:val="0D0D0D" w:themeColor="text1" w:themeTint="F2"/>
        </w:rPr>
        <w:t>development. Millions worldwide use paracetamol</w:t>
      </w:r>
      <w:r w:rsidRPr="00E4782C">
        <w:rPr>
          <w:rFonts w:asciiTheme="majorBidi" w:hAnsiTheme="majorBidi" w:cstheme="majorBidi"/>
          <w:color w:val="0D0D0D" w:themeColor="text1" w:themeTint="F2"/>
        </w:rPr>
        <w:t xml:space="preserve"> (acetaminophen – APAP) as a safe analgesic drug at therapeutic doses </w:t>
      </w:r>
      <w:r w:rsidRPr="00E4782C" w:rsidR="00F2011F">
        <w:rPr>
          <w:rFonts w:asciiTheme="majorBidi" w:hAnsiTheme="majorBidi" w:cstheme="majorBidi"/>
          <w:color w:val="0D0D0D" w:themeColor="text1" w:themeTint="F2"/>
          <w:vertAlign w:val="superscript"/>
        </w:rPr>
        <w:t>1-3</w:t>
      </w:r>
      <w:r w:rsidRPr="00E4782C">
        <w:rPr>
          <w:rFonts w:asciiTheme="majorBidi" w:hAnsiTheme="majorBidi" w:cstheme="majorBidi"/>
          <w:color w:val="0D0D0D" w:themeColor="text1" w:themeTint="F2"/>
        </w:rPr>
        <w:t>.</w:t>
      </w:r>
      <w:r w:rsidRPr="00E4782C" w:rsidR="00CE6572">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After oral administration, about 63% of paracetamol is metabolized via glucuronidation and 34% via sulphation, primarily in the liver. The water-soluble metabolites consisting of these metabolic pathways are excreted via the kidney. N-acetyl-p-benzoquinone (NAPQI) is a reactive intermediate that occurs when the microsomal P-450 enzyme system</w:t>
      </w:r>
      <w:r w:rsidRPr="00E4782C" w:rsidR="00F2011F">
        <w:rPr>
          <w:rFonts w:asciiTheme="majorBidi" w:hAnsiTheme="majorBidi" w:cstheme="majorBidi"/>
          <w:color w:val="0D0D0D" w:themeColor="text1" w:themeTint="F2"/>
          <w:vertAlign w:val="superscript"/>
        </w:rPr>
        <w:t>4,5</w:t>
      </w:r>
      <w:r w:rsidRPr="00E4782C">
        <w:rPr>
          <w:rFonts w:asciiTheme="majorBidi" w:hAnsiTheme="majorBidi" w:cstheme="majorBidi"/>
          <w:color w:val="0D0D0D" w:themeColor="text1" w:themeTint="F2"/>
        </w:rPr>
        <w:t xml:space="preserve"> oxidizes the &lt;5% percent of paracetamol. The main reason for the development of such medical complications is that when the toxic dose of paracetamol is ingested, excessive NAPQ1 is produced and consequently causes serious GSH reduction as well as overproduction of reactive metabolites leading to covalent attachment of sulfhydryl groups in cellular proteins. This disrupts homeostasis and starts apoptosis or programmed cell death, leading to tissue necrosis, organ dysfunction and oxidative stress</w:t>
      </w:r>
      <w:r w:rsidRPr="00E4782C" w:rsidR="00F2011F">
        <w:rPr>
          <w:rFonts w:asciiTheme="majorBidi" w:hAnsiTheme="majorBidi" w:cstheme="majorBidi"/>
          <w:color w:val="0D0D0D" w:themeColor="text1" w:themeTint="F2"/>
          <w:vertAlign w:val="superscript"/>
        </w:rPr>
        <w:t>6</w:t>
      </w:r>
      <w:r w:rsidRPr="00E4782C">
        <w:rPr>
          <w:rFonts w:asciiTheme="majorBidi" w:hAnsiTheme="majorBidi" w:cstheme="majorBidi"/>
          <w:color w:val="0D0D0D" w:themeColor="text1" w:themeTint="F2"/>
        </w:rPr>
        <w:t>.</w:t>
      </w:r>
    </w:p>
    <w:p w:rsidR="00C53BA4" w:rsidRPr="00E4782C" w:rsidP="00CE6572" w14:paraId="10D13791" w14:textId="6463C559">
      <w:pPr>
        <w:pStyle w:val="Biont21heading1"/>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 xml:space="preserve">2. Materials and </w:t>
      </w:r>
      <w:r w:rsidRPr="00E4782C" w:rsidR="008A312C">
        <w:rPr>
          <w:rFonts w:asciiTheme="majorBidi" w:hAnsiTheme="majorBidi" w:cstheme="majorBidi"/>
          <w:color w:val="0D0D0D" w:themeColor="text1" w:themeTint="F2"/>
        </w:rPr>
        <w:t>Methods</w:t>
      </w:r>
    </w:p>
    <w:p w:rsidR="00C02E39" w:rsidRPr="00E4782C" w:rsidP="00CE6572" w14:paraId="27E55761" w14:textId="2FF5FB13">
      <w:pPr>
        <w:pStyle w:val="Biont31text"/>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The experimental study was conducted on 30 rats (200 mg) from 15/3/</w:t>
      </w:r>
      <w:r w:rsidRPr="00E4782C">
        <w:rPr>
          <w:rFonts w:asciiTheme="majorBidi" w:hAnsiTheme="majorBidi" w:cstheme="majorBidi"/>
          <w:color w:val="0D0D0D" w:themeColor="text1" w:themeTint="F2"/>
        </w:rPr>
        <w:t>2022. It</w:t>
      </w:r>
      <w:r w:rsidRPr="00E4782C">
        <w:rPr>
          <w:rFonts w:asciiTheme="majorBidi" w:hAnsiTheme="majorBidi" w:cstheme="majorBidi"/>
          <w:color w:val="0D0D0D" w:themeColor="text1" w:themeTint="F2"/>
        </w:rPr>
        <w:t xml:space="preserve"> has been achieved in the animal house of the College of Veterinary Medicine / Tikrit University.</w:t>
      </w:r>
      <w:r w:rsidRPr="00E4782C" w:rsidR="00CE6572">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 xml:space="preserve">They were left to acclimatize for 1 week. They were housed in metallic cages at room temperature and kept under constant healthy environmental and nutritional conditions. Animals were kept under a schedule of diurnal lighting conditions (12 h of darkness and 12 h of light); they were fed on ordinary food and housed under </w:t>
      </w:r>
      <w:r w:rsidRPr="00E4782C" w:rsidR="00CE6572">
        <w:rPr>
          <w:rFonts w:asciiTheme="majorBidi" w:hAnsiTheme="majorBidi" w:cstheme="majorBidi"/>
          <w:color w:val="0D0D0D" w:themeColor="text1" w:themeTint="F2"/>
        </w:rPr>
        <w:t xml:space="preserve">standard laboratory conditions. </w:t>
      </w:r>
      <w:r w:rsidRPr="00E4782C">
        <w:rPr>
          <w:rFonts w:asciiTheme="majorBidi" w:hAnsiTheme="majorBidi" w:cstheme="majorBidi"/>
          <w:color w:val="0D0D0D" w:themeColor="text1" w:themeTint="F2"/>
        </w:rPr>
        <w:t>The animals were divided into 3 cages of 10 animals each.</w:t>
      </w:r>
    </w:p>
    <w:p w:rsidR="00C02E39" w:rsidRPr="00E4782C" w:rsidP="00CE6572" w14:paraId="2455E6DA" w14:textId="77777777">
      <w:pPr>
        <w:pStyle w:val="Biont37itemize"/>
        <w:rPr>
          <w:rFonts w:asciiTheme="majorBidi" w:hAnsiTheme="majorBidi" w:cstheme="majorBidi"/>
          <w:color w:val="0D0D0D" w:themeColor="text1" w:themeTint="F2"/>
        </w:rPr>
      </w:pPr>
      <w:r w:rsidRPr="00E4782C">
        <w:rPr>
          <w:rFonts w:asciiTheme="majorBidi" w:hAnsiTheme="majorBidi" w:cstheme="majorBidi"/>
          <w:b/>
          <w:bCs/>
          <w:color w:val="0D0D0D" w:themeColor="text1" w:themeTint="F2"/>
        </w:rPr>
        <w:t>Control group 1 (G1):</w:t>
      </w:r>
      <w:r w:rsidRPr="00E4782C">
        <w:rPr>
          <w:rFonts w:asciiTheme="majorBidi" w:hAnsiTheme="majorBidi" w:cstheme="majorBidi"/>
          <w:color w:val="0D0D0D" w:themeColor="text1" w:themeTint="F2"/>
        </w:rPr>
        <w:t xml:space="preserve"> It included 10 adult </w:t>
      </w:r>
      <w:r w:rsidRPr="00E4782C">
        <w:rPr>
          <w:rFonts w:asciiTheme="majorBidi" w:hAnsiTheme="majorBidi" w:cstheme="majorBidi"/>
          <w:color w:val="0D0D0D" w:themeColor="text1" w:themeTint="F2"/>
        </w:rPr>
        <w:t>rats</w:t>
      </w:r>
      <w:r w:rsidRPr="00E4782C">
        <w:rPr>
          <w:rFonts w:asciiTheme="majorBidi" w:hAnsiTheme="majorBidi" w:cstheme="majorBidi"/>
          <w:color w:val="0D0D0D" w:themeColor="text1" w:themeTint="F2"/>
        </w:rPr>
        <w:t>. The animals of this group received 1 ml of normal saline 0.9% for 4 weeks.</w:t>
      </w:r>
    </w:p>
    <w:p w:rsidR="00C02E39" w:rsidRPr="00E4782C" w:rsidP="00CE6572" w14:paraId="0E85FF08" w14:textId="77777777">
      <w:pPr>
        <w:pStyle w:val="Biont37itemize"/>
        <w:rPr>
          <w:rFonts w:asciiTheme="majorBidi" w:hAnsiTheme="majorBidi" w:cstheme="majorBidi"/>
          <w:color w:val="0D0D0D" w:themeColor="text1" w:themeTint="F2"/>
        </w:rPr>
      </w:pPr>
      <w:r w:rsidRPr="00E4782C">
        <w:rPr>
          <w:rFonts w:asciiTheme="majorBidi" w:hAnsiTheme="majorBidi" w:cstheme="majorBidi"/>
          <w:b/>
          <w:bCs/>
          <w:color w:val="0D0D0D" w:themeColor="text1" w:themeTint="F2"/>
        </w:rPr>
        <w:t>Treated group 2 (G2): It</w:t>
      </w:r>
      <w:r w:rsidRPr="00E4782C">
        <w:rPr>
          <w:rFonts w:asciiTheme="majorBidi" w:hAnsiTheme="majorBidi" w:cstheme="majorBidi"/>
          <w:color w:val="0D0D0D" w:themeColor="text1" w:themeTint="F2"/>
        </w:rPr>
        <w:t xml:space="preserve"> included 10 </w:t>
      </w:r>
      <w:r w:rsidRPr="00E4782C">
        <w:rPr>
          <w:rFonts w:asciiTheme="majorBidi" w:hAnsiTheme="majorBidi" w:cstheme="majorBidi"/>
          <w:color w:val="0D0D0D" w:themeColor="text1" w:themeTint="F2"/>
        </w:rPr>
        <w:t>rats</w:t>
      </w:r>
      <w:r w:rsidRPr="00E4782C">
        <w:rPr>
          <w:rFonts w:asciiTheme="majorBidi" w:hAnsiTheme="majorBidi" w:cstheme="majorBidi"/>
          <w:color w:val="0D0D0D" w:themeColor="text1" w:themeTint="F2"/>
        </w:rPr>
        <w:t xml:space="preserve">. Each animal received </w:t>
      </w:r>
      <w:r w:rsidRPr="00E4782C">
        <w:rPr>
          <w:rFonts w:asciiTheme="majorBidi" w:hAnsiTheme="majorBidi" w:cstheme="majorBidi"/>
          <w:color w:val="0D0D0D" w:themeColor="text1" w:themeTint="F2"/>
          <w:szCs w:val="20"/>
          <w:rtl/>
        </w:rPr>
        <w:t>100</w:t>
      </w:r>
      <w:r w:rsidRPr="00E4782C">
        <w:rPr>
          <w:rFonts w:asciiTheme="majorBidi" w:hAnsiTheme="majorBidi" w:cstheme="majorBidi"/>
          <w:color w:val="0D0D0D" w:themeColor="text1" w:themeTint="F2"/>
        </w:rPr>
        <w:t>0mg/kg/day of paracetamol daily for 30 days.</w:t>
      </w:r>
    </w:p>
    <w:p w:rsidR="00C02E39" w:rsidRPr="00E4782C" w:rsidP="00CE6572" w14:paraId="45959479" w14:textId="77777777">
      <w:pPr>
        <w:pStyle w:val="Biont37itemize"/>
        <w:rPr>
          <w:rFonts w:asciiTheme="majorBidi" w:hAnsiTheme="majorBidi" w:cstheme="majorBidi"/>
          <w:color w:val="0D0D0D" w:themeColor="text1" w:themeTint="F2"/>
        </w:rPr>
      </w:pPr>
      <w:r w:rsidRPr="00E4782C">
        <w:rPr>
          <w:rFonts w:asciiTheme="majorBidi" w:hAnsiTheme="majorBidi" w:cstheme="majorBidi"/>
          <w:b/>
          <w:bCs/>
          <w:color w:val="0D0D0D" w:themeColor="text1" w:themeTint="F2"/>
        </w:rPr>
        <w:t>Group 3 (G3):</w:t>
      </w:r>
      <w:r w:rsidRPr="00E4782C">
        <w:rPr>
          <w:rFonts w:asciiTheme="majorBidi" w:hAnsiTheme="majorBidi" w:cstheme="majorBidi"/>
          <w:color w:val="0D0D0D" w:themeColor="text1" w:themeTint="F2"/>
        </w:rPr>
        <w:t xml:space="preserve"> It included 10 </w:t>
      </w:r>
      <w:r w:rsidRPr="00E4782C">
        <w:rPr>
          <w:rFonts w:asciiTheme="majorBidi" w:hAnsiTheme="majorBidi" w:cstheme="majorBidi"/>
          <w:color w:val="0D0D0D" w:themeColor="text1" w:themeTint="F2"/>
        </w:rPr>
        <w:t>rats</w:t>
      </w:r>
      <w:r w:rsidRPr="00E4782C">
        <w:rPr>
          <w:rFonts w:asciiTheme="majorBidi" w:hAnsiTheme="majorBidi" w:cstheme="majorBidi"/>
          <w:color w:val="0D0D0D" w:themeColor="text1" w:themeTint="F2"/>
        </w:rPr>
        <w:t xml:space="preserve">; each animal received </w:t>
      </w:r>
      <w:r w:rsidRPr="00E4782C">
        <w:rPr>
          <w:rFonts w:asciiTheme="majorBidi" w:hAnsiTheme="majorBidi" w:cstheme="majorBidi"/>
          <w:color w:val="0D0D0D" w:themeColor="text1" w:themeTint="F2"/>
          <w:szCs w:val="20"/>
          <w:rtl/>
        </w:rPr>
        <w:t>2000</w:t>
      </w:r>
      <w:r w:rsidRPr="00E4782C">
        <w:rPr>
          <w:rFonts w:asciiTheme="majorBidi" w:hAnsiTheme="majorBidi" w:cstheme="majorBidi"/>
          <w:color w:val="0D0D0D" w:themeColor="text1" w:themeTint="F2"/>
        </w:rPr>
        <w:t>mg/kg/day of paracetamol daily for continuous 30 days.</w:t>
      </w:r>
    </w:p>
    <w:p w:rsidR="00C02E39" w:rsidRPr="00E4782C" w:rsidP="00CE6572" w14:paraId="097DFCA4" w14:textId="4C5DE053">
      <w:pPr>
        <w:pStyle w:val="Biont31text"/>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 xml:space="preserve">  Blood samples (5 ml) were collected through retro-orbital </w:t>
      </w:r>
      <w:r w:rsidRPr="00E4782C">
        <w:rPr>
          <w:rFonts w:asciiTheme="majorBidi" w:hAnsiTheme="majorBidi" w:cstheme="majorBidi"/>
          <w:color w:val="0D0D0D" w:themeColor="text1" w:themeTint="F2"/>
        </w:rPr>
        <w:t>puncture. Serum</w:t>
      </w:r>
      <w:r w:rsidRPr="00E4782C">
        <w:rPr>
          <w:rFonts w:asciiTheme="majorBidi" w:hAnsiTheme="majorBidi" w:cstheme="majorBidi"/>
          <w:color w:val="0D0D0D" w:themeColor="text1" w:themeTint="F2"/>
        </w:rPr>
        <w:t xml:space="preserve"> samples were prepared for biochemical assays by centrifuging for 10 min at 3000 rpm. All serum samples were kept at −80°C until the assays were performed.</w:t>
      </w:r>
      <w:r w:rsidRPr="00E4782C" w:rsidR="00CE6572">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Serum SOD, GSH, MDA, G-</w:t>
      </w:r>
      <w:r w:rsidRPr="00E4782C">
        <w:rPr>
          <w:rFonts w:asciiTheme="majorBidi" w:hAnsiTheme="majorBidi" w:cstheme="majorBidi"/>
          <w:color w:val="0D0D0D" w:themeColor="text1" w:themeTint="F2"/>
        </w:rPr>
        <w:t>Px</w:t>
      </w:r>
      <w:r w:rsidRPr="00E4782C">
        <w:rPr>
          <w:rFonts w:asciiTheme="majorBidi" w:hAnsiTheme="majorBidi" w:cstheme="majorBidi"/>
          <w:color w:val="0D0D0D" w:themeColor="text1" w:themeTint="F2"/>
        </w:rPr>
        <w:t>, and catalase levels were measured by spectrophotometric kit.</w:t>
      </w:r>
    </w:p>
    <w:p w:rsidR="00C02E39" w:rsidRPr="00E4782C" w:rsidP="00CE6572" w14:paraId="4151D886" w14:textId="4D7A7B46">
      <w:pPr>
        <w:pStyle w:val="Biont22heading2"/>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 xml:space="preserve">2.1. </w:t>
      </w:r>
      <w:r w:rsidRPr="00E4782C">
        <w:rPr>
          <w:rFonts w:asciiTheme="majorBidi" w:hAnsiTheme="majorBidi" w:cstheme="majorBidi"/>
          <w:color w:val="0D0D0D" w:themeColor="text1" w:themeTint="F2"/>
        </w:rPr>
        <w:t xml:space="preserve">Statistical </w:t>
      </w:r>
      <w:r w:rsidRPr="00E4782C" w:rsidR="008A312C">
        <w:rPr>
          <w:rFonts w:asciiTheme="majorBidi" w:hAnsiTheme="majorBidi" w:cstheme="majorBidi"/>
          <w:color w:val="0D0D0D" w:themeColor="text1" w:themeTint="F2"/>
        </w:rPr>
        <w:t>Evaluation</w:t>
      </w:r>
    </w:p>
    <w:p w:rsidR="00C02E39" w:rsidRPr="00E4782C" w:rsidP="00C02E39" w14:paraId="7BEC6850" w14:textId="77777777">
      <w:pPr>
        <w:pStyle w:val="Biont31text"/>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Data was expressed as mean ± SD. Differences between groups were compared by ANOVA using the SPSS software (version 16). A p-value of less than 0.05 was considered to be statistically significant.</w:t>
      </w:r>
    </w:p>
    <w:p w:rsidR="00C53BA4" w:rsidRPr="00E4782C" w:rsidP="007C4659" w14:paraId="59DDBBBC" w14:textId="6C258200">
      <w:pPr>
        <w:pStyle w:val="Biont21heading1"/>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 xml:space="preserve">3. </w:t>
      </w:r>
      <w:r w:rsidRPr="00E4782C" w:rsidR="007C4659">
        <w:rPr>
          <w:rFonts w:asciiTheme="majorBidi" w:hAnsiTheme="majorBidi" w:cstheme="majorBidi"/>
          <w:color w:val="0D0D0D" w:themeColor="text1" w:themeTint="F2"/>
        </w:rPr>
        <w:t>Results</w:t>
      </w:r>
    </w:p>
    <w:p w:rsidR="00C02E39" w:rsidRPr="00E4782C" w:rsidP="00CE6572" w14:paraId="258A30FA" w14:textId="77777777">
      <w:pPr>
        <w:pStyle w:val="Biont41tablecaption"/>
        <w:rPr>
          <w:rFonts w:asciiTheme="majorBidi" w:hAnsiTheme="majorBidi" w:cstheme="majorBidi"/>
          <w:color w:val="0D0D0D" w:themeColor="text1" w:themeTint="F2"/>
        </w:rPr>
      </w:pPr>
      <w:r w:rsidRPr="00E4782C">
        <w:rPr>
          <w:rFonts w:asciiTheme="majorBidi" w:hAnsiTheme="majorBidi" w:cstheme="majorBidi"/>
          <w:b/>
          <w:bCs/>
          <w:color w:val="0D0D0D" w:themeColor="text1" w:themeTint="F2"/>
        </w:rPr>
        <w:t>Table 1.</w:t>
      </w:r>
      <w:r w:rsidRPr="00E4782C">
        <w:rPr>
          <w:rFonts w:asciiTheme="majorBidi" w:hAnsiTheme="majorBidi" w:cstheme="majorBidi"/>
          <w:color w:val="0D0D0D" w:themeColor="text1" w:themeTint="F2"/>
        </w:rPr>
        <w:t xml:space="preserve"> Effect of paracetamol administration on biochemical parameters of rats</w:t>
      </w:r>
    </w:p>
    <w:tbl>
      <w:tblPr>
        <w:tblStyle w:val="GridTable1Light-Accent11"/>
        <w:bidiVisual/>
        <w:tblW w:w="0" w:type="auto"/>
        <w:jc w:val="right"/>
        <w:tblLook w:val="04A0"/>
      </w:tblPr>
      <w:tblGrid>
        <w:gridCol w:w="1126"/>
        <w:gridCol w:w="1360"/>
        <w:gridCol w:w="1226"/>
        <w:gridCol w:w="1365"/>
        <w:gridCol w:w="1205"/>
      </w:tblGrid>
      <w:tr w14:paraId="29251774" w14:textId="77777777" w:rsidTr="007C4659">
        <w:tblPrEx>
          <w:tblW w:w="0" w:type="auto"/>
          <w:jc w:val="right"/>
          <w:tblLook w:val="04A0"/>
        </w:tblPrEx>
        <w:trPr>
          <w:trHeight w:val="20"/>
          <w:jc w:val="right"/>
        </w:trPr>
        <w:tc>
          <w:tcPr>
            <w:tcW w:w="0" w:type="auto"/>
            <w:hideMark/>
          </w:tcPr>
          <w:p w:rsidR="00C02E39" w:rsidRPr="00E4782C" w:rsidP="007C4659" w14:paraId="4185B845" w14:textId="77777777">
            <w:pPr>
              <w:pStyle w:val="Biont42tablebody"/>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SOD</w:t>
            </w:r>
          </w:p>
        </w:tc>
        <w:tc>
          <w:tcPr>
            <w:tcW w:w="0" w:type="auto"/>
            <w:hideMark/>
          </w:tcPr>
          <w:p w:rsidR="00C02E39" w:rsidRPr="00E4782C" w:rsidP="007C4659" w14:paraId="41FAF38D" w14:textId="77777777">
            <w:pPr>
              <w:pStyle w:val="Biont42tablebody"/>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GSH</w:t>
            </w:r>
          </w:p>
        </w:tc>
        <w:tc>
          <w:tcPr>
            <w:tcW w:w="0" w:type="auto"/>
            <w:hideMark/>
          </w:tcPr>
          <w:p w:rsidR="00C02E39" w:rsidRPr="00E4782C" w:rsidP="007C4659" w14:paraId="535E42CF" w14:textId="77777777">
            <w:pPr>
              <w:pStyle w:val="Biont42tablebody"/>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MDA</w:t>
            </w:r>
          </w:p>
        </w:tc>
        <w:tc>
          <w:tcPr>
            <w:tcW w:w="0" w:type="auto"/>
            <w:hideMark/>
          </w:tcPr>
          <w:p w:rsidR="00C02E39" w:rsidRPr="00E4782C" w:rsidP="007C4659" w14:paraId="6235F030" w14:textId="77777777">
            <w:pPr>
              <w:pStyle w:val="Biont42tablebody"/>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CAT</w:t>
            </w:r>
          </w:p>
        </w:tc>
        <w:tc>
          <w:tcPr>
            <w:tcW w:w="0" w:type="auto"/>
            <w:hideMark/>
          </w:tcPr>
          <w:p w:rsidR="00C02E39" w:rsidRPr="00E4782C" w:rsidP="007C4659" w14:paraId="4A4C5E58" w14:textId="77777777">
            <w:pPr>
              <w:pStyle w:val="Biont42tablebody"/>
              <w:rPr>
                <w:rFonts w:asciiTheme="majorBidi" w:hAnsiTheme="majorBidi" w:cstheme="majorBidi"/>
                <w:color w:val="0D0D0D" w:themeColor="text1" w:themeTint="F2"/>
                <w:rtl/>
              </w:rPr>
            </w:pPr>
            <w:r w:rsidRPr="00E4782C">
              <w:rPr>
                <w:rFonts w:asciiTheme="majorBidi" w:hAnsiTheme="majorBidi" w:cstheme="majorBidi"/>
                <w:color w:val="0D0D0D" w:themeColor="text1" w:themeTint="F2"/>
              </w:rPr>
              <w:t>Parameters</w:t>
            </w:r>
          </w:p>
          <w:p w:rsidR="00C02E39" w:rsidRPr="00E4782C" w:rsidP="007C4659" w14:paraId="6ECC27F0" w14:textId="77777777">
            <w:pPr>
              <w:pStyle w:val="Biont42tablebody"/>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Groups</w:t>
            </w:r>
          </w:p>
        </w:tc>
      </w:tr>
      <w:tr w14:paraId="72D6EEBE" w14:textId="77777777" w:rsidTr="007C4659">
        <w:tblPrEx>
          <w:tblW w:w="0" w:type="auto"/>
          <w:jc w:val="right"/>
          <w:tblLook w:val="04A0"/>
        </w:tblPrEx>
        <w:trPr>
          <w:trHeight w:val="20"/>
          <w:jc w:val="right"/>
        </w:trPr>
        <w:tc>
          <w:tcPr>
            <w:tcW w:w="0" w:type="auto"/>
          </w:tcPr>
          <w:p w:rsidR="00C02E39" w:rsidRPr="00E4782C" w:rsidP="007C4659" w14:paraId="0F017AF6" w14:textId="77777777">
            <w:pPr>
              <w:pStyle w:val="Biont42tablebody"/>
              <w:rPr>
                <w:rFonts w:asciiTheme="majorBidi" w:hAnsiTheme="majorBidi" w:cstheme="majorBidi"/>
                <w:b w:val="0"/>
                <w:bCs w:val="0"/>
                <w:color w:val="0D0D0D" w:themeColor="text1" w:themeTint="F2"/>
                <w:rtl/>
              </w:rPr>
            </w:pPr>
            <w:r w:rsidRPr="00E4782C">
              <w:rPr>
                <w:rFonts w:asciiTheme="majorBidi" w:hAnsiTheme="majorBidi" w:cstheme="majorBidi"/>
                <w:b w:val="0"/>
                <w:bCs w:val="0"/>
                <w:color w:val="0D0D0D" w:themeColor="text1" w:themeTint="F2"/>
              </w:rPr>
              <w:t>666.0</w:t>
            </w:r>
            <w:r w:rsidRPr="00E4782C">
              <w:rPr>
                <w:rFonts w:asciiTheme="majorBidi" w:hAnsiTheme="majorBidi" w:cstheme="majorBidi"/>
                <w:b w:val="0"/>
                <w:bCs w:val="0"/>
                <w:color w:val="0D0D0D" w:themeColor="text1" w:themeTint="F2"/>
                <w:rtl/>
              </w:rPr>
              <w:t>±</w:t>
            </w:r>
            <w:r w:rsidRPr="00E4782C">
              <w:rPr>
                <w:rFonts w:asciiTheme="majorBidi" w:hAnsiTheme="majorBidi" w:cstheme="majorBidi"/>
                <w:b w:val="0"/>
                <w:bCs w:val="0"/>
                <w:color w:val="0D0D0D" w:themeColor="text1" w:themeTint="F2"/>
              </w:rPr>
              <w:t>43.6</w:t>
            </w:r>
          </w:p>
          <w:p w:rsidR="00C02E39" w:rsidRPr="00E4782C" w:rsidP="007C4659" w14:paraId="46D6DD39" w14:textId="77777777">
            <w:pPr>
              <w:pStyle w:val="Biont42tablebody"/>
              <w:rPr>
                <w:rFonts w:asciiTheme="majorBidi" w:hAnsiTheme="majorBidi" w:cstheme="majorBidi"/>
                <w:b w:val="0"/>
                <w:bCs w:val="0"/>
                <w:color w:val="0D0D0D" w:themeColor="text1" w:themeTint="F2"/>
              </w:rPr>
            </w:pPr>
            <w:r w:rsidRPr="00E4782C">
              <w:rPr>
                <w:rFonts w:asciiTheme="majorBidi" w:hAnsiTheme="majorBidi" w:cstheme="majorBidi"/>
                <w:b w:val="0"/>
                <w:bCs w:val="0"/>
                <w:color w:val="0D0D0D" w:themeColor="text1" w:themeTint="F2"/>
              </w:rPr>
              <w:t>A</w:t>
            </w:r>
          </w:p>
        </w:tc>
        <w:tc>
          <w:tcPr>
            <w:tcW w:w="0" w:type="auto"/>
            <w:hideMark/>
          </w:tcPr>
          <w:p w:rsidR="00C02E39" w:rsidRPr="00E4782C" w:rsidP="007C4659" w14:paraId="3BF1B3D7" w14:textId="77777777">
            <w:pPr>
              <w:pStyle w:val="Biont42tablebody"/>
              <w:rPr>
                <w:rFonts w:asciiTheme="majorBidi" w:hAnsiTheme="majorBidi" w:cstheme="majorBidi"/>
                <w:color w:val="0D0D0D" w:themeColor="text1" w:themeTint="F2"/>
                <w:rtl/>
              </w:rPr>
            </w:pPr>
            <w:r w:rsidRPr="00E4782C">
              <w:rPr>
                <w:rFonts w:asciiTheme="majorBidi" w:hAnsiTheme="majorBidi" w:cstheme="majorBidi"/>
                <w:color w:val="0D0D0D" w:themeColor="text1" w:themeTint="F2"/>
              </w:rPr>
              <w:t>290.1</w:t>
            </w:r>
            <w:r w:rsidRPr="00E4782C">
              <w:rPr>
                <w:rFonts w:asciiTheme="majorBidi" w:hAnsiTheme="majorBidi" w:cstheme="majorBidi"/>
                <w:color w:val="0D0D0D" w:themeColor="text1" w:themeTint="F2"/>
                <w:rtl/>
              </w:rPr>
              <w:t>±</w:t>
            </w:r>
            <w:r w:rsidRPr="00E4782C">
              <w:rPr>
                <w:rFonts w:asciiTheme="majorBidi" w:hAnsiTheme="majorBidi" w:cstheme="majorBidi"/>
                <w:color w:val="0D0D0D" w:themeColor="text1" w:themeTint="F2"/>
              </w:rPr>
              <w:t>16.0</w:t>
            </w:r>
          </w:p>
          <w:p w:rsidR="00C02E39" w:rsidRPr="00E4782C" w:rsidP="007C4659" w14:paraId="428D1AAB" w14:textId="77777777">
            <w:pPr>
              <w:pStyle w:val="Biont42tablebody"/>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A</w:t>
            </w:r>
          </w:p>
        </w:tc>
        <w:tc>
          <w:tcPr>
            <w:tcW w:w="0" w:type="auto"/>
          </w:tcPr>
          <w:p w:rsidR="00C02E39" w:rsidRPr="00E4782C" w:rsidP="007C4659" w14:paraId="3A44EA9D" w14:textId="77777777">
            <w:pPr>
              <w:pStyle w:val="Biont42tablebody"/>
              <w:rPr>
                <w:rFonts w:asciiTheme="majorBidi" w:hAnsiTheme="majorBidi" w:cstheme="majorBidi"/>
                <w:color w:val="0D0D0D" w:themeColor="text1" w:themeTint="F2"/>
                <w:rtl/>
              </w:rPr>
            </w:pPr>
            <w:r w:rsidRPr="00E4782C">
              <w:rPr>
                <w:rFonts w:asciiTheme="majorBidi" w:hAnsiTheme="majorBidi" w:cstheme="majorBidi"/>
                <w:color w:val="0D0D0D" w:themeColor="text1" w:themeTint="F2"/>
              </w:rPr>
              <w:t>0.573</w:t>
            </w:r>
            <w:r w:rsidRPr="00E4782C">
              <w:rPr>
                <w:rFonts w:asciiTheme="majorBidi" w:hAnsiTheme="majorBidi" w:cstheme="majorBidi"/>
                <w:color w:val="0D0D0D" w:themeColor="text1" w:themeTint="F2"/>
                <w:rtl/>
              </w:rPr>
              <w:t>±</w:t>
            </w:r>
            <w:r w:rsidRPr="00E4782C">
              <w:rPr>
                <w:rFonts w:asciiTheme="majorBidi" w:hAnsiTheme="majorBidi" w:cstheme="majorBidi"/>
                <w:color w:val="0D0D0D" w:themeColor="text1" w:themeTint="F2"/>
              </w:rPr>
              <w:t>0.082</w:t>
            </w:r>
          </w:p>
          <w:p w:rsidR="00C02E39" w:rsidRPr="00E4782C" w:rsidP="007C4659" w14:paraId="00E9505F" w14:textId="77777777">
            <w:pPr>
              <w:pStyle w:val="Biont42tablebody"/>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A</w:t>
            </w:r>
          </w:p>
        </w:tc>
        <w:tc>
          <w:tcPr>
            <w:tcW w:w="0" w:type="auto"/>
          </w:tcPr>
          <w:p w:rsidR="00C02E39" w:rsidRPr="00E4782C" w:rsidP="007C4659" w14:paraId="11BCFCFE" w14:textId="77777777">
            <w:pPr>
              <w:pStyle w:val="Biont42tablebody"/>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6.110</w:t>
            </w:r>
            <w:r w:rsidRPr="00E4782C">
              <w:rPr>
                <w:rFonts w:asciiTheme="majorBidi" w:hAnsiTheme="majorBidi" w:cstheme="majorBidi"/>
                <w:color w:val="0D0D0D" w:themeColor="text1" w:themeTint="F2"/>
                <w:rtl/>
              </w:rPr>
              <w:t>±</w:t>
            </w:r>
            <w:r w:rsidRPr="00E4782C">
              <w:rPr>
                <w:rFonts w:asciiTheme="majorBidi" w:hAnsiTheme="majorBidi" w:cstheme="majorBidi"/>
                <w:color w:val="0D0D0D" w:themeColor="text1" w:themeTint="F2"/>
              </w:rPr>
              <w:t>1.092</w:t>
            </w:r>
          </w:p>
        </w:tc>
        <w:tc>
          <w:tcPr>
            <w:tcW w:w="0" w:type="auto"/>
          </w:tcPr>
          <w:p w:rsidR="00C02E39" w:rsidRPr="00E4782C" w:rsidP="007C4659" w14:paraId="2E2F9795" w14:textId="52D272C4">
            <w:pPr>
              <w:pStyle w:val="Biont42tablebody"/>
              <w:rPr>
                <w:rFonts w:asciiTheme="majorBidi" w:hAnsiTheme="majorBidi" w:cstheme="majorBidi"/>
                <w:b/>
                <w:bCs/>
                <w:color w:val="0D0D0D" w:themeColor="text1" w:themeTint="F2"/>
              </w:rPr>
            </w:pPr>
            <w:r w:rsidRPr="00E4782C">
              <w:rPr>
                <w:rFonts w:asciiTheme="majorBidi" w:hAnsiTheme="majorBidi" w:cstheme="majorBidi"/>
                <w:b/>
                <w:bCs/>
                <w:color w:val="0D0D0D" w:themeColor="text1" w:themeTint="F2"/>
              </w:rPr>
              <w:t>G1</w:t>
            </w:r>
          </w:p>
        </w:tc>
      </w:tr>
      <w:tr w14:paraId="1765B069" w14:textId="77777777" w:rsidTr="007C4659">
        <w:tblPrEx>
          <w:tblW w:w="0" w:type="auto"/>
          <w:jc w:val="right"/>
          <w:tblLook w:val="04A0"/>
        </w:tblPrEx>
        <w:trPr>
          <w:trHeight w:val="20"/>
          <w:jc w:val="right"/>
        </w:trPr>
        <w:tc>
          <w:tcPr>
            <w:tcW w:w="0" w:type="auto"/>
            <w:hideMark/>
          </w:tcPr>
          <w:p w:rsidR="00C02E39" w:rsidRPr="00E4782C" w:rsidP="007C4659" w14:paraId="3A91D108" w14:textId="77777777">
            <w:pPr>
              <w:pStyle w:val="Biont42tablebody"/>
              <w:rPr>
                <w:rFonts w:asciiTheme="majorBidi" w:hAnsiTheme="majorBidi" w:cstheme="majorBidi"/>
                <w:b w:val="0"/>
                <w:bCs w:val="0"/>
                <w:color w:val="0D0D0D" w:themeColor="text1" w:themeTint="F2"/>
              </w:rPr>
            </w:pPr>
            <w:r w:rsidRPr="00E4782C">
              <w:rPr>
                <w:rFonts w:asciiTheme="majorBidi" w:hAnsiTheme="majorBidi" w:cstheme="majorBidi"/>
                <w:b w:val="0"/>
                <w:bCs w:val="0"/>
                <w:color w:val="0D0D0D" w:themeColor="text1" w:themeTint="F2"/>
              </w:rPr>
              <w:t>384.0</w:t>
            </w:r>
            <w:r w:rsidRPr="00E4782C">
              <w:rPr>
                <w:rFonts w:asciiTheme="majorBidi" w:hAnsiTheme="majorBidi" w:cstheme="majorBidi"/>
                <w:b w:val="0"/>
                <w:bCs w:val="0"/>
                <w:color w:val="0D0D0D" w:themeColor="text1" w:themeTint="F2"/>
                <w:rtl/>
              </w:rPr>
              <w:t>±</w:t>
            </w:r>
            <w:r w:rsidRPr="00E4782C">
              <w:rPr>
                <w:rFonts w:asciiTheme="majorBidi" w:hAnsiTheme="majorBidi" w:cstheme="majorBidi"/>
                <w:b w:val="0"/>
                <w:bCs w:val="0"/>
                <w:color w:val="0D0D0D" w:themeColor="text1" w:themeTint="F2"/>
              </w:rPr>
              <w:t>24.6</w:t>
            </w:r>
          </w:p>
          <w:p w:rsidR="00C02E39" w:rsidRPr="00E4782C" w:rsidP="007C4659" w14:paraId="070CE9DD" w14:textId="77777777">
            <w:pPr>
              <w:pStyle w:val="Biont42tablebody"/>
              <w:rPr>
                <w:rFonts w:asciiTheme="majorBidi" w:hAnsiTheme="majorBidi" w:cstheme="majorBidi"/>
                <w:b w:val="0"/>
                <w:bCs w:val="0"/>
                <w:color w:val="0D0D0D" w:themeColor="text1" w:themeTint="F2"/>
              </w:rPr>
            </w:pPr>
            <w:r w:rsidRPr="00E4782C">
              <w:rPr>
                <w:rFonts w:asciiTheme="majorBidi" w:hAnsiTheme="majorBidi" w:cstheme="majorBidi"/>
                <w:b w:val="0"/>
                <w:bCs w:val="0"/>
                <w:color w:val="0D0D0D" w:themeColor="text1" w:themeTint="F2"/>
              </w:rPr>
              <w:t>B</w:t>
            </w:r>
          </w:p>
        </w:tc>
        <w:tc>
          <w:tcPr>
            <w:tcW w:w="0" w:type="auto"/>
            <w:hideMark/>
          </w:tcPr>
          <w:p w:rsidR="00C02E39" w:rsidRPr="00E4782C" w:rsidP="007C4659" w14:paraId="1574817B" w14:textId="77777777">
            <w:pPr>
              <w:pStyle w:val="Biont42tablebody"/>
              <w:rPr>
                <w:rFonts w:asciiTheme="majorBidi" w:hAnsiTheme="majorBidi" w:cstheme="majorBidi"/>
                <w:color w:val="0D0D0D" w:themeColor="text1" w:themeTint="F2"/>
                <w:rtl/>
              </w:rPr>
            </w:pPr>
            <w:r w:rsidRPr="00E4782C">
              <w:rPr>
                <w:rFonts w:asciiTheme="majorBidi" w:hAnsiTheme="majorBidi" w:cstheme="majorBidi"/>
                <w:color w:val="0D0D0D" w:themeColor="text1" w:themeTint="F2"/>
              </w:rPr>
              <w:t>262.6</w:t>
            </w:r>
            <w:r w:rsidRPr="00E4782C">
              <w:rPr>
                <w:rFonts w:asciiTheme="majorBidi" w:hAnsiTheme="majorBidi" w:cstheme="majorBidi"/>
                <w:color w:val="0D0D0D" w:themeColor="text1" w:themeTint="F2"/>
                <w:rtl/>
              </w:rPr>
              <w:t>±</w:t>
            </w:r>
            <w:r w:rsidRPr="00E4782C">
              <w:rPr>
                <w:rFonts w:asciiTheme="majorBidi" w:hAnsiTheme="majorBidi" w:cstheme="majorBidi"/>
                <w:color w:val="0D0D0D" w:themeColor="text1" w:themeTint="F2"/>
              </w:rPr>
              <w:t>18.8</w:t>
            </w:r>
          </w:p>
          <w:p w:rsidR="00C02E39" w:rsidRPr="00E4782C" w:rsidP="007C4659" w14:paraId="3197F605" w14:textId="77777777">
            <w:pPr>
              <w:pStyle w:val="Biont42tablebody"/>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Ab</w:t>
            </w:r>
          </w:p>
        </w:tc>
        <w:tc>
          <w:tcPr>
            <w:tcW w:w="0" w:type="auto"/>
            <w:hideMark/>
          </w:tcPr>
          <w:p w:rsidR="00C02E39" w:rsidRPr="00E4782C" w:rsidP="007C4659" w14:paraId="2DC5E958" w14:textId="77777777">
            <w:pPr>
              <w:pStyle w:val="Biont42tablebody"/>
              <w:rPr>
                <w:rFonts w:asciiTheme="majorBidi" w:hAnsiTheme="majorBidi" w:cstheme="majorBidi"/>
                <w:color w:val="0D0D0D" w:themeColor="text1" w:themeTint="F2"/>
                <w:rtl/>
              </w:rPr>
            </w:pPr>
            <w:r w:rsidRPr="00E4782C">
              <w:rPr>
                <w:rFonts w:asciiTheme="majorBidi" w:hAnsiTheme="majorBidi" w:cstheme="majorBidi"/>
                <w:color w:val="0D0D0D" w:themeColor="text1" w:themeTint="F2"/>
              </w:rPr>
              <w:t>0.669</w:t>
            </w:r>
            <w:r w:rsidRPr="00E4782C">
              <w:rPr>
                <w:rFonts w:asciiTheme="majorBidi" w:hAnsiTheme="majorBidi" w:cstheme="majorBidi"/>
                <w:color w:val="0D0D0D" w:themeColor="text1" w:themeTint="F2"/>
                <w:rtl/>
              </w:rPr>
              <w:t>±</w:t>
            </w:r>
            <w:r w:rsidRPr="00E4782C">
              <w:rPr>
                <w:rFonts w:asciiTheme="majorBidi" w:hAnsiTheme="majorBidi" w:cstheme="majorBidi"/>
                <w:color w:val="0D0D0D" w:themeColor="text1" w:themeTint="F2"/>
              </w:rPr>
              <w:t>0.173</w:t>
            </w:r>
          </w:p>
          <w:p w:rsidR="00C02E39" w:rsidRPr="00E4782C" w:rsidP="007C4659" w14:paraId="1C95B268" w14:textId="77777777">
            <w:pPr>
              <w:pStyle w:val="Biont42tablebody"/>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A</w:t>
            </w:r>
          </w:p>
        </w:tc>
        <w:tc>
          <w:tcPr>
            <w:tcW w:w="0" w:type="auto"/>
            <w:hideMark/>
          </w:tcPr>
          <w:p w:rsidR="00C02E39" w:rsidRPr="00E4782C" w:rsidP="007C4659" w14:paraId="35EA06AA" w14:textId="77777777">
            <w:pPr>
              <w:pStyle w:val="Biont42tablebody"/>
              <w:rPr>
                <w:rFonts w:asciiTheme="majorBidi" w:hAnsiTheme="majorBidi" w:cstheme="majorBidi"/>
                <w:color w:val="0D0D0D" w:themeColor="text1" w:themeTint="F2"/>
                <w:rtl/>
              </w:rPr>
            </w:pPr>
            <w:r w:rsidRPr="00E4782C">
              <w:rPr>
                <w:rFonts w:asciiTheme="majorBidi" w:hAnsiTheme="majorBidi" w:cstheme="majorBidi"/>
                <w:color w:val="0D0D0D" w:themeColor="text1" w:themeTint="F2"/>
              </w:rPr>
              <w:t>a 2.776</w:t>
            </w:r>
            <w:r w:rsidRPr="00E4782C">
              <w:rPr>
                <w:rFonts w:asciiTheme="majorBidi" w:hAnsiTheme="majorBidi" w:cstheme="majorBidi"/>
                <w:color w:val="0D0D0D" w:themeColor="text1" w:themeTint="F2"/>
                <w:rtl/>
              </w:rPr>
              <w:t>±</w:t>
            </w:r>
            <w:r w:rsidRPr="00E4782C">
              <w:rPr>
                <w:rFonts w:asciiTheme="majorBidi" w:hAnsiTheme="majorBidi" w:cstheme="majorBidi"/>
                <w:color w:val="0D0D0D" w:themeColor="text1" w:themeTint="F2"/>
              </w:rPr>
              <w:t>1.197</w:t>
            </w:r>
          </w:p>
          <w:p w:rsidR="00C02E39" w:rsidRPr="00E4782C" w:rsidP="007C4659" w14:paraId="6E0E7B27" w14:textId="77777777">
            <w:pPr>
              <w:pStyle w:val="Biont42tablebody"/>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B</w:t>
            </w:r>
          </w:p>
        </w:tc>
        <w:tc>
          <w:tcPr>
            <w:tcW w:w="0" w:type="auto"/>
          </w:tcPr>
          <w:p w:rsidR="00C02E39" w:rsidRPr="00E4782C" w:rsidP="007C4659" w14:paraId="3C976760" w14:textId="77777777">
            <w:pPr>
              <w:pStyle w:val="Biont42tablebody"/>
              <w:rPr>
                <w:rFonts w:asciiTheme="majorBidi" w:hAnsiTheme="majorBidi" w:cstheme="majorBidi"/>
                <w:b/>
                <w:bCs/>
                <w:color w:val="0D0D0D" w:themeColor="text1" w:themeTint="F2"/>
              </w:rPr>
            </w:pPr>
            <w:r w:rsidRPr="00E4782C">
              <w:rPr>
                <w:rFonts w:asciiTheme="majorBidi" w:hAnsiTheme="majorBidi" w:cstheme="majorBidi"/>
                <w:b/>
                <w:bCs/>
                <w:color w:val="0D0D0D" w:themeColor="text1" w:themeTint="F2"/>
              </w:rPr>
              <w:t>G2</w:t>
            </w:r>
          </w:p>
        </w:tc>
      </w:tr>
      <w:tr w14:paraId="6151F211" w14:textId="77777777" w:rsidTr="007C4659">
        <w:tblPrEx>
          <w:tblW w:w="0" w:type="auto"/>
          <w:jc w:val="right"/>
          <w:tblLook w:val="04A0"/>
        </w:tblPrEx>
        <w:trPr>
          <w:trHeight w:val="20"/>
          <w:jc w:val="right"/>
        </w:trPr>
        <w:tc>
          <w:tcPr>
            <w:tcW w:w="0" w:type="auto"/>
            <w:hideMark/>
          </w:tcPr>
          <w:p w:rsidR="00C02E39" w:rsidRPr="00E4782C" w:rsidP="007C4659" w14:paraId="332D5A27" w14:textId="77777777">
            <w:pPr>
              <w:pStyle w:val="Biont42tablebody"/>
              <w:rPr>
                <w:rFonts w:asciiTheme="majorBidi" w:hAnsiTheme="majorBidi" w:cstheme="majorBidi"/>
                <w:b w:val="0"/>
                <w:bCs w:val="0"/>
                <w:color w:val="0D0D0D" w:themeColor="text1" w:themeTint="F2"/>
                <w:rtl/>
              </w:rPr>
            </w:pPr>
            <w:r w:rsidRPr="00E4782C">
              <w:rPr>
                <w:rFonts w:asciiTheme="majorBidi" w:hAnsiTheme="majorBidi" w:cstheme="majorBidi"/>
                <w:b w:val="0"/>
                <w:bCs w:val="0"/>
                <w:color w:val="0D0D0D" w:themeColor="text1" w:themeTint="F2"/>
              </w:rPr>
              <w:t>97.8</w:t>
            </w:r>
            <w:r w:rsidRPr="00E4782C">
              <w:rPr>
                <w:rFonts w:asciiTheme="majorBidi" w:hAnsiTheme="majorBidi" w:cstheme="majorBidi"/>
                <w:b w:val="0"/>
                <w:bCs w:val="0"/>
                <w:color w:val="0D0D0D" w:themeColor="text1" w:themeTint="F2"/>
                <w:rtl/>
              </w:rPr>
              <w:t>±</w:t>
            </w:r>
            <w:r w:rsidRPr="00E4782C">
              <w:rPr>
                <w:rFonts w:asciiTheme="majorBidi" w:hAnsiTheme="majorBidi" w:cstheme="majorBidi"/>
                <w:b w:val="0"/>
                <w:bCs w:val="0"/>
                <w:color w:val="0D0D0D" w:themeColor="text1" w:themeTint="F2"/>
              </w:rPr>
              <w:t>23.5</w:t>
            </w:r>
          </w:p>
          <w:p w:rsidR="00C02E39" w:rsidRPr="00E4782C" w:rsidP="007C4659" w14:paraId="6DE851DF" w14:textId="77777777">
            <w:pPr>
              <w:pStyle w:val="Biont42tablebody"/>
              <w:rPr>
                <w:rFonts w:asciiTheme="majorBidi" w:hAnsiTheme="majorBidi" w:cstheme="majorBidi"/>
                <w:b w:val="0"/>
                <w:bCs w:val="0"/>
                <w:color w:val="0D0D0D" w:themeColor="text1" w:themeTint="F2"/>
              </w:rPr>
            </w:pPr>
            <w:r w:rsidRPr="00E4782C">
              <w:rPr>
                <w:rFonts w:asciiTheme="majorBidi" w:hAnsiTheme="majorBidi" w:cstheme="majorBidi"/>
                <w:b w:val="0"/>
                <w:bCs w:val="0"/>
                <w:color w:val="0D0D0D" w:themeColor="text1" w:themeTint="F2"/>
              </w:rPr>
              <w:t>C</w:t>
            </w:r>
          </w:p>
        </w:tc>
        <w:tc>
          <w:tcPr>
            <w:tcW w:w="0" w:type="auto"/>
            <w:hideMark/>
          </w:tcPr>
          <w:p w:rsidR="00C02E39" w:rsidRPr="00E4782C" w:rsidP="007C4659" w14:paraId="0499D1B3" w14:textId="77777777">
            <w:pPr>
              <w:pStyle w:val="Biont42tablebody"/>
              <w:rPr>
                <w:rFonts w:asciiTheme="majorBidi" w:hAnsiTheme="majorBidi" w:cstheme="majorBidi"/>
                <w:color w:val="0D0D0D" w:themeColor="text1" w:themeTint="F2"/>
              </w:rPr>
            </w:pPr>
            <w:r w:rsidRPr="00E4782C">
              <w:rPr>
                <w:rFonts w:asciiTheme="majorBidi" w:hAnsiTheme="majorBidi" w:cstheme="majorBidi"/>
                <w:color w:val="0D0D0D" w:themeColor="text1" w:themeTint="F2"/>
                <w:rtl/>
              </w:rPr>
              <w:t>0.702±0.014</w:t>
            </w:r>
            <w:r w:rsidRPr="00E4782C">
              <w:rPr>
                <w:rFonts w:asciiTheme="majorBidi" w:hAnsiTheme="majorBidi" w:cstheme="majorBidi"/>
                <w:color w:val="0D0D0D" w:themeColor="text1" w:themeTint="F2"/>
              </w:rPr>
              <w:t>B</w:t>
            </w:r>
          </w:p>
        </w:tc>
        <w:tc>
          <w:tcPr>
            <w:tcW w:w="0" w:type="auto"/>
            <w:hideMark/>
          </w:tcPr>
          <w:p w:rsidR="00C02E39" w:rsidRPr="00E4782C" w:rsidP="007C4659" w14:paraId="1C0E72E8" w14:textId="77777777">
            <w:pPr>
              <w:pStyle w:val="Biont42tablebody"/>
              <w:rPr>
                <w:rFonts w:asciiTheme="majorBidi" w:hAnsiTheme="majorBidi" w:cstheme="majorBidi"/>
                <w:color w:val="0D0D0D" w:themeColor="text1" w:themeTint="F2"/>
                <w:rtl/>
              </w:rPr>
            </w:pPr>
            <w:r w:rsidRPr="00E4782C">
              <w:rPr>
                <w:rFonts w:asciiTheme="majorBidi" w:hAnsiTheme="majorBidi" w:cstheme="majorBidi"/>
                <w:color w:val="0D0D0D" w:themeColor="text1" w:themeTint="F2"/>
              </w:rPr>
              <w:t>0.702</w:t>
            </w:r>
            <w:r w:rsidRPr="00E4782C">
              <w:rPr>
                <w:rFonts w:asciiTheme="majorBidi" w:hAnsiTheme="majorBidi" w:cstheme="majorBidi"/>
                <w:color w:val="0D0D0D" w:themeColor="text1" w:themeTint="F2"/>
                <w:rtl/>
              </w:rPr>
              <w:t>±</w:t>
            </w:r>
            <w:r w:rsidRPr="00E4782C">
              <w:rPr>
                <w:rFonts w:asciiTheme="majorBidi" w:hAnsiTheme="majorBidi" w:cstheme="majorBidi"/>
                <w:color w:val="0D0D0D" w:themeColor="text1" w:themeTint="F2"/>
              </w:rPr>
              <w:t>0.014</w:t>
            </w:r>
          </w:p>
          <w:p w:rsidR="00C02E39" w:rsidRPr="00E4782C" w:rsidP="007C4659" w14:paraId="715AEE91" w14:textId="77777777">
            <w:pPr>
              <w:pStyle w:val="Biont42tablebody"/>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A</w:t>
            </w:r>
          </w:p>
        </w:tc>
        <w:tc>
          <w:tcPr>
            <w:tcW w:w="0" w:type="auto"/>
            <w:hideMark/>
          </w:tcPr>
          <w:p w:rsidR="00C02E39" w:rsidRPr="00E4782C" w:rsidP="007C4659" w14:paraId="487F2B09" w14:textId="77777777">
            <w:pPr>
              <w:pStyle w:val="Biont42tablebody"/>
              <w:rPr>
                <w:rFonts w:asciiTheme="majorBidi" w:hAnsiTheme="majorBidi" w:cstheme="majorBidi"/>
                <w:color w:val="0D0D0D" w:themeColor="text1" w:themeTint="F2"/>
                <w:rtl/>
              </w:rPr>
            </w:pPr>
            <w:r w:rsidRPr="00E4782C">
              <w:rPr>
                <w:rFonts w:asciiTheme="majorBidi" w:hAnsiTheme="majorBidi" w:cstheme="majorBidi"/>
                <w:color w:val="0D0D0D" w:themeColor="text1" w:themeTint="F2"/>
              </w:rPr>
              <w:t>1.709</w:t>
            </w:r>
            <w:r w:rsidRPr="00E4782C">
              <w:rPr>
                <w:rFonts w:asciiTheme="majorBidi" w:hAnsiTheme="majorBidi" w:cstheme="majorBidi"/>
                <w:color w:val="0D0D0D" w:themeColor="text1" w:themeTint="F2"/>
                <w:rtl/>
              </w:rPr>
              <w:t>±</w:t>
            </w:r>
            <w:r w:rsidRPr="00E4782C">
              <w:rPr>
                <w:rFonts w:asciiTheme="majorBidi" w:hAnsiTheme="majorBidi" w:cstheme="majorBidi"/>
                <w:color w:val="0D0D0D" w:themeColor="text1" w:themeTint="F2"/>
              </w:rPr>
              <w:t>1.083</w:t>
            </w:r>
          </w:p>
          <w:p w:rsidR="00C02E39" w:rsidRPr="00E4782C" w:rsidP="007C4659" w14:paraId="51A2C392" w14:textId="77777777">
            <w:pPr>
              <w:pStyle w:val="Biont42tablebody"/>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b</w:t>
            </w:r>
          </w:p>
        </w:tc>
        <w:tc>
          <w:tcPr>
            <w:tcW w:w="0" w:type="auto"/>
          </w:tcPr>
          <w:p w:rsidR="00C02E39" w:rsidRPr="00E4782C" w:rsidP="007C4659" w14:paraId="6C35A6EE" w14:textId="77777777">
            <w:pPr>
              <w:pStyle w:val="Biont42tablebody"/>
              <w:rPr>
                <w:rFonts w:asciiTheme="majorBidi" w:hAnsiTheme="majorBidi" w:cstheme="majorBidi"/>
                <w:b/>
                <w:bCs/>
                <w:color w:val="0D0D0D" w:themeColor="text1" w:themeTint="F2"/>
              </w:rPr>
            </w:pPr>
            <w:r w:rsidRPr="00E4782C">
              <w:rPr>
                <w:rFonts w:asciiTheme="majorBidi" w:hAnsiTheme="majorBidi" w:cstheme="majorBidi"/>
                <w:b/>
                <w:bCs/>
                <w:color w:val="0D0D0D" w:themeColor="text1" w:themeTint="F2"/>
              </w:rPr>
              <w:t>G3</w:t>
            </w:r>
          </w:p>
        </w:tc>
      </w:tr>
      <w:tr w14:paraId="6874A629" w14:textId="77777777" w:rsidTr="007C4659">
        <w:tblPrEx>
          <w:tblW w:w="0" w:type="auto"/>
          <w:jc w:val="right"/>
          <w:tblLook w:val="04A0"/>
        </w:tblPrEx>
        <w:trPr>
          <w:trHeight w:val="20"/>
          <w:jc w:val="right"/>
        </w:trPr>
        <w:tc>
          <w:tcPr>
            <w:tcW w:w="0" w:type="auto"/>
            <w:hideMark/>
          </w:tcPr>
          <w:p w:rsidR="00C02E39" w:rsidRPr="00E4782C" w:rsidP="007C4659" w14:paraId="1FC06EE3" w14:textId="77777777">
            <w:pPr>
              <w:pStyle w:val="Biont42tablebody"/>
              <w:rPr>
                <w:rFonts w:asciiTheme="majorBidi" w:hAnsiTheme="majorBidi" w:cstheme="majorBidi"/>
                <w:b w:val="0"/>
                <w:bCs w:val="0"/>
                <w:color w:val="0D0D0D" w:themeColor="text1" w:themeTint="F2"/>
              </w:rPr>
            </w:pPr>
            <w:r w:rsidRPr="00E4782C">
              <w:rPr>
                <w:rFonts w:asciiTheme="majorBidi" w:hAnsiTheme="majorBidi" w:cstheme="majorBidi"/>
                <w:b w:val="0"/>
                <w:bCs w:val="0"/>
                <w:color w:val="0D0D0D" w:themeColor="text1" w:themeTint="F2"/>
              </w:rPr>
              <w:t>0.050 *</w:t>
            </w:r>
          </w:p>
        </w:tc>
        <w:tc>
          <w:tcPr>
            <w:tcW w:w="0" w:type="auto"/>
            <w:hideMark/>
          </w:tcPr>
          <w:p w:rsidR="00C02E39" w:rsidRPr="00E4782C" w:rsidP="007C4659" w14:paraId="346AC5D8" w14:textId="77777777">
            <w:pPr>
              <w:pStyle w:val="Biont42tablebody"/>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0.049 *</w:t>
            </w:r>
          </w:p>
        </w:tc>
        <w:tc>
          <w:tcPr>
            <w:tcW w:w="0" w:type="auto"/>
            <w:hideMark/>
          </w:tcPr>
          <w:p w:rsidR="00C02E39" w:rsidRPr="00E4782C" w:rsidP="007C4659" w14:paraId="7F34BEF7" w14:textId="77777777">
            <w:pPr>
              <w:pStyle w:val="Biont42tablebody"/>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0.393 ns</w:t>
            </w:r>
          </w:p>
        </w:tc>
        <w:tc>
          <w:tcPr>
            <w:tcW w:w="0" w:type="auto"/>
            <w:hideMark/>
          </w:tcPr>
          <w:p w:rsidR="00C02E39" w:rsidRPr="00E4782C" w:rsidP="007C4659" w14:paraId="258EFF38" w14:textId="77777777">
            <w:pPr>
              <w:pStyle w:val="Biont42tablebody"/>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0.044 *</w:t>
            </w:r>
          </w:p>
        </w:tc>
        <w:tc>
          <w:tcPr>
            <w:tcW w:w="0" w:type="auto"/>
            <w:hideMark/>
          </w:tcPr>
          <w:p w:rsidR="00C02E39" w:rsidRPr="00E4782C" w:rsidP="007C4659" w14:paraId="79E1D9FD" w14:textId="77777777">
            <w:pPr>
              <w:pStyle w:val="Biont42tablebody"/>
              <w:rPr>
                <w:rFonts w:asciiTheme="majorBidi" w:hAnsiTheme="majorBidi" w:cstheme="majorBidi"/>
                <w:b/>
                <w:bCs/>
                <w:color w:val="0D0D0D" w:themeColor="text1" w:themeTint="F2"/>
              </w:rPr>
            </w:pPr>
            <w:r w:rsidRPr="00E4782C">
              <w:rPr>
                <w:rFonts w:asciiTheme="majorBidi" w:hAnsiTheme="majorBidi" w:cstheme="majorBidi"/>
                <w:b/>
                <w:bCs/>
                <w:color w:val="0D0D0D" w:themeColor="text1" w:themeTint="F2"/>
              </w:rPr>
              <w:t>P – Value</w:t>
            </w:r>
          </w:p>
        </w:tc>
      </w:tr>
    </w:tbl>
    <w:p w:rsidR="00C02E39" w:rsidRPr="00E4782C" w:rsidP="008244B1" w14:paraId="5E175845" w14:textId="77777777">
      <w:pPr>
        <w:pStyle w:val="Biont31text"/>
        <w:rPr>
          <w:rFonts w:asciiTheme="majorBidi" w:hAnsiTheme="majorBidi" w:cstheme="majorBidi"/>
          <w:color w:val="0D0D0D" w:themeColor="text1" w:themeTint="F2"/>
        </w:rPr>
      </w:pPr>
    </w:p>
    <w:p w:rsidR="00C02E39" w:rsidRPr="00E4782C" w:rsidP="007C4659" w14:paraId="40A2460E" w14:textId="77777777">
      <w:pPr>
        <w:pStyle w:val="Biont52figure"/>
        <w:ind w:left="2552"/>
        <w:jc w:val="left"/>
        <w:rPr>
          <w:rFonts w:asciiTheme="majorBidi" w:hAnsiTheme="majorBidi" w:cstheme="majorBidi"/>
          <w:color w:val="0D0D0D" w:themeColor="text1" w:themeTint="F2"/>
        </w:rPr>
      </w:pPr>
      <w:r w:rsidRPr="00E4782C">
        <w:rPr>
          <w:rFonts w:asciiTheme="majorBidi" w:hAnsiTheme="majorBidi" w:cstheme="majorBidi"/>
          <w:noProof/>
          <w:color w:val="0D0D0D" w:themeColor="text1" w:themeTint="F2"/>
          <w:lang w:val="en-GB" w:eastAsia="en-GB" w:bidi="ar-SA"/>
        </w:rPr>
        <w:drawing>
          <wp:inline distT="0" distB="0" distL="0" distR="0">
            <wp:extent cx="3240000" cy="2160000"/>
            <wp:effectExtent l="0" t="0" r="17780" b="12065"/>
            <wp:docPr id="34" name="مخطط 34">
              <a:extLst xmlns:a="http://schemas.openxmlformats.org/drawingml/2006/main">
                <a:ext xmlns:a="http://schemas.openxmlformats.org/drawingml/2006/main" uri="{FF2B5EF4-FFF2-40B4-BE49-F238E27FC236}">
                  <a16:creationId xmlns:a16="http://schemas.microsoft.com/office/drawing/2014/main" id="{86B413D0-C2E8-AF2F-A004-2F4C4DD6A5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02E39" w:rsidRPr="00E4782C" w:rsidP="007C4659" w14:paraId="2C664BA6" w14:textId="51B9F7C4">
      <w:pPr>
        <w:pStyle w:val="Biont51figurecaption"/>
        <w:rPr>
          <w:rFonts w:asciiTheme="majorBidi" w:hAnsiTheme="majorBidi" w:cstheme="majorBidi"/>
          <w:color w:val="0D0D0D" w:themeColor="text1" w:themeTint="F2"/>
          <w:szCs w:val="18"/>
          <w:rtl/>
        </w:rPr>
      </w:pPr>
      <w:r w:rsidRPr="00E4782C">
        <w:rPr>
          <w:rFonts w:asciiTheme="majorBidi" w:hAnsiTheme="majorBidi" w:cstheme="majorBidi"/>
          <w:b/>
          <w:bCs/>
          <w:color w:val="0D0D0D" w:themeColor="text1" w:themeTint="F2"/>
        </w:rPr>
        <w:t>Figure 1</w:t>
      </w:r>
      <w:r w:rsidRPr="00E4782C" w:rsidR="007C4659">
        <w:rPr>
          <w:rFonts w:asciiTheme="majorBidi" w:hAnsiTheme="majorBidi" w:cstheme="majorBidi"/>
          <w:b/>
          <w:bCs/>
          <w:color w:val="0D0D0D" w:themeColor="text1" w:themeTint="F2"/>
        </w:rPr>
        <w:t>.</w:t>
      </w:r>
      <w:r w:rsidRPr="00E4782C">
        <w:rPr>
          <w:rFonts w:asciiTheme="majorBidi" w:hAnsiTheme="majorBidi" w:cstheme="majorBidi"/>
          <w:color w:val="0D0D0D" w:themeColor="text1" w:themeTint="F2"/>
        </w:rPr>
        <w:t xml:space="preserve"> Effects of paracetamol on the serum MDA in adult rats</w:t>
      </w:r>
    </w:p>
    <w:p w:rsidR="00C02E39" w:rsidRPr="00E4782C" w:rsidP="007C4659" w14:paraId="6B70DA7F" w14:textId="77777777">
      <w:pPr>
        <w:pStyle w:val="Biont52figure"/>
        <w:ind w:left="2552"/>
        <w:jc w:val="left"/>
        <w:rPr>
          <w:rFonts w:asciiTheme="majorBidi" w:hAnsiTheme="majorBidi" w:cstheme="majorBidi"/>
          <w:color w:val="0D0D0D" w:themeColor="text1" w:themeTint="F2"/>
          <w:rtl/>
          <w:lang w:bidi="ar-IQ"/>
        </w:rPr>
      </w:pPr>
      <w:r w:rsidRPr="00E4782C">
        <w:rPr>
          <w:rFonts w:asciiTheme="majorBidi" w:hAnsiTheme="majorBidi" w:cstheme="majorBidi"/>
          <w:noProof/>
          <w:color w:val="0D0D0D" w:themeColor="text1" w:themeTint="F2"/>
          <w:lang w:val="en-GB" w:eastAsia="en-GB" w:bidi="ar-SA"/>
        </w:rPr>
        <w:drawing>
          <wp:inline distT="0" distB="0" distL="0" distR="0">
            <wp:extent cx="3240000" cy="2160000"/>
            <wp:effectExtent l="0" t="0" r="17780" b="12065"/>
            <wp:docPr id="33" name="مخطط 33">
              <a:extLst xmlns:a="http://schemas.openxmlformats.org/drawingml/2006/main">
                <a:ext xmlns:a="http://schemas.openxmlformats.org/drawingml/2006/main" uri="{FF2B5EF4-FFF2-40B4-BE49-F238E27FC236}">
                  <a16:creationId xmlns:a16="http://schemas.microsoft.com/office/drawing/2014/main" id="{30082B92-A8E0-44E8-6E32-01C80C82A9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02E39" w:rsidRPr="00E4782C" w:rsidP="007C4659" w14:paraId="637B2701" w14:textId="5FA4A276">
      <w:pPr>
        <w:pStyle w:val="Biont51figurecaption"/>
        <w:rPr>
          <w:rFonts w:asciiTheme="majorBidi" w:hAnsiTheme="majorBidi" w:cstheme="majorBidi"/>
          <w:snapToGrid w:val="0"/>
          <w:color w:val="0D0D0D" w:themeColor="text1" w:themeTint="F2"/>
          <w:rtl/>
          <w:lang w:bidi="ar-IQ"/>
        </w:rPr>
      </w:pPr>
      <w:r w:rsidRPr="00E4782C">
        <w:rPr>
          <w:rFonts w:asciiTheme="majorBidi" w:hAnsiTheme="majorBidi" w:cstheme="majorBidi"/>
          <w:b/>
          <w:bCs/>
          <w:snapToGrid w:val="0"/>
          <w:color w:val="0D0D0D" w:themeColor="text1" w:themeTint="F2"/>
        </w:rPr>
        <w:t>Figure 2</w:t>
      </w:r>
      <w:r w:rsidRPr="00E4782C" w:rsidR="007C4659">
        <w:rPr>
          <w:rFonts w:asciiTheme="majorBidi" w:hAnsiTheme="majorBidi" w:cstheme="majorBidi"/>
          <w:b/>
          <w:bCs/>
          <w:snapToGrid w:val="0"/>
          <w:color w:val="0D0D0D" w:themeColor="text1" w:themeTint="F2"/>
        </w:rPr>
        <w:t>.</w:t>
      </w:r>
      <w:r w:rsidRPr="00E4782C">
        <w:rPr>
          <w:rFonts w:asciiTheme="majorBidi" w:hAnsiTheme="majorBidi" w:cstheme="majorBidi"/>
          <w:snapToGrid w:val="0"/>
          <w:color w:val="0D0D0D" w:themeColor="text1" w:themeTint="F2"/>
        </w:rPr>
        <w:t xml:space="preserve"> Effects of paracetamol on the serum catalase in adult rats</w:t>
      </w:r>
    </w:p>
    <w:p w:rsidR="00C02E39" w:rsidRPr="00E4782C" w:rsidP="007C4659" w14:paraId="06944EB9" w14:textId="77777777">
      <w:pPr>
        <w:pStyle w:val="Biont52figure"/>
        <w:ind w:left="2552"/>
        <w:jc w:val="left"/>
        <w:rPr>
          <w:rFonts w:asciiTheme="majorBidi" w:hAnsiTheme="majorBidi" w:cstheme="majorBidi"/>
          <w:color w:val="0D0D0D" w:themeColor="text1" w:themeTint="F2"/>
          <w:rtl/>
          <w:lang w:bidi="ar-IQ"/>
        </w:rPr>
      </w:pPr>
      <w:r w:rsidRPr="00E4782C">
        <w:rPr>
          <w:rFonts w:asciiTheme="majorBidi" w:hAnsiTheme="majorBidi" w:cstheme="majorBidi"/>
          <w:noProof/>
          <w:color w:val="0D0D0D" w:themeColor="text1" w:themeTint="F2"/>
          <w:lang w:val="en-GB" w:eastAsia="en-GB" w:bidi="ar-SA"/>
        </w:rPr>
        <w:drawing>
          <wp:inline distT="0" distB="0" distL="0" distR="0">
            <wp:extent cx="3240000" cy="2160000"/>
            <wp:effectExtent l="0" t="0" r="17780" b="12065"/>
            <wp:docPr id="35" name="مخطط 35">
              <a:extLst xmlns:a="http://schemas.openxmlformats.org/drawingml/2006/main">
                <a:ext xmlns:a="http://schemas.openxmlformats.org/drawingml/2006/main" uri="{FF2B5EF4-FFF2-40B4-BE49-F238E27FC236}">
                  <a16:creationId xmlns:a16="http://schemas.microsoft.com/office/drawing/2014/main" id="{9FD4E5B9-1C5A-2CB3-A9A5-24CD39AF0C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02E39" w:rsidRPr="00E4782C" w:rsidP="008244B1" w14:paraId="029CBE44" w14:textId="0DD75EDE">
      <w:pPr>
        <w:pStyle w:val="Biont51figurecaption"/>
        <w:rPr>
          <w:rFonts w:asciiTheme="majorBidi" w:hAnsiTheme="majorBidi" w:cstheme="majorBidi"/>
          <w:snapToGrid w:val="0"/>
          <w:color w:val="0D0D0D" w:themeColor="text1" w:themeTint="F2"/>
          <w:rtl/>
          <w:lang w:bidi="ar-IQ"/>
        </w:rPr>
      </w:pPr>
      <w:r w:rsidRPr="00E4782C">
        <w:rPr>
          <w:rFonts w:asciiTheme="majorBidi" w:hAnsiTheme="majorBidi" w:cstheme="majorBidi"/>
          <w:b/>
          <w:bCs/>
          <w:snapToGrid w:val="0"/>
          <w:color w:val="0D0D0D" w:themeColor="text1" w:themeTint="F2"/>
        </w:rPr>
        <w:t>Figure 3.</w:t>
      </w:r>
      <w:r w:rsidRPr="00E4782C">
        <w:rPr>
          <w:rFonts w:asciiTheme="majorBidi" w:hAnsiTheme="majorBidi" w:cstheme="majorBidi"/>
          <w:snapToGrid w:val="0"/>
          <w:color w:val="0D0D0D" w:themeColor="text1" w:themeTint="F2"/>
        </w:rPr>
        <w:t xml:space="preserve"> Effects of paracetamol on the serum GSH in adult rats</w:t>
      </w:r>
    </w:p>
    <w:p w:rsidR="00C02E39" w:rsidRPr="00E4782C" w:rsidP="008A312C" w14:paraId="523BECE0" w14:textId="77777777">
      <w:pPr>
        <w:pStyle w:val="Biont52figure"/>
        <w:ind w:left="2552"/>
        <w:jc w:val="left"/>
        <w:rPr>
          <w:rFonts w:asciiTheme="majorBidi" w:hAnsiTheme="majorBidi" w:cstheme="majorBidi"/>
          <w:color w:val="0D0D0D" w:themeColor="text1" w:themeTint="F2"/>
          <w:rtl/>
          <w:lang w:bidi="ar-IQ"/>
        </w:rPr>
      </w:pPr>
      <w:r w:rsidRPr="00E4782C">
        <w:rPr>
          <w:rFonts w:asciiTheme="majorBidi" w:hAnsiTheme="majorBidi" w:cstheme="majorBidi"/>
          <w:noProof/>
          <w:color w:val="0D0D0D" w:themeColor="text1" w:themeTint="F2"/>
          <w:lang w:val="en-GB" w:eastAsia="en-GB" w:bidi="ar-SA"/>
        </w:rPr>
        <w:drawing>
          <wp:inline distT="0" distB="0" distL="0" distR="0">
            <wp:extent cx="3240000" cy="2160000"/>
            <wp:effectExtent l="0" t="0" r="17780" b="12065"/>
            <wp:docPr id="36" name="مخطط 36">
              <a:extLst xmlns:a="http://schemas.openxmlformats.org/drawingml/2006/main">
                <a:ext xmlns:a="http://schemas.openxmlformats.org/drawingml/2006/main" uri="{FF2B5EF4-FFF2-40B4-BE49-F238E27FC236}">
                  <a16:creationId xmlns:a16="http://schemas.microsoft.com/office/drawing/2014/main" id="{8C6364DB-2417-C1F3-3C63-1AA70776E0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02E39" w:rsidRPr="00E4782C" w:rsidP="007C4659" w14:paraId="42FC5C0F" w14:textId="40F40C59">
      <w:pPr>
        <w:pStyle w:val="Biont51figurecaption"/>
        <w:rPr>
          <w:rFonts w:asciiTheme="majorBidi" w:hAnsiTheme="majorBidi" w:cstheme="majorBidi"/>
          <w:color w:val="0D0D0D" w:themeColor="text1" w:themeTint="F2"/>
          <w:szCs w:val="18"/>
        </w:rPr>
      </w:pPr>
      <w:r w:rsidRPr="00E4782C">
        <w:rPr>
          <w:rFonts w:asciiTheme="majorBidi" w:hAnsiTheme="majorBidi" w:cstheme="majorBidi"/>
          <w:b/>
          <w:bCs/>
          <w:color w:val="0D0D0D" w:themeColor="text1" w:themeTint="F2"/>
        </w:rPr>
        <w:t>Figure 4.</w:t>
      </w:r>
      <w:r w:rsidRPr="00E4782C">
        <w:rPr>
          <w:rFonts w:asciiTheme="majorBidi" w:hAnsiTheme="majorBidi" w:cstheme="majorBidi"/>
          <w:color w:val="0D0D0D" w:themeColor="text1" w:themeTint="F2"/>
        </w:rPr>
        <w:t xml:space="preserve"> Effects of paracetamol on the serum SOD in adult rats</w:t>
      </w:r>
    </w:p>
    <w:p w:rsidR="007C4659" w:rsidRPr="00E4782C" w:rsidP="007C4659" w14:paraId="6D8A8D5E" w14:textId="259C7A6E">
      <w:pPr>
        <w:pStyle w:val="Biont21heading1"/>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4. Discussion</w:t>
      </w:r>
    </w:p>
    <w:p w:rsidR="00C02E39" w:rsidRPr="00E4782C" w:rsidP="007C4659" w14:paraId="6C18EDDF" w14:textId="48F30E53">
      <w:pPr>
        <w:pStyle w:val="Biont31text"/>
        <w:rPr>
          <w:rFonts w:eastAsia="MS Mincho" w:asciiTheme="majorBidi" w:hAnsiTheme="majorBidi" w:cstheme="majorBidi"/>
          <w:color w:val="0D0D0D" w:themeColor="text1" w:themeTint="F2"/>
        </w:rPr>
      </w:pPr>
      <w:r w:rsidRPr="00E4782C">
        <w:rPr>
          <w:rFonts w:asciiTheme="majorBidi" w:hAnsiTheme="majorBidi" w:cstheme="majorBidi"/>
          <w:color w:val="0D0D0D" w:themeColor="text1" w:themeTint="F2"/>
        </w:rPr>
        <w:t>Oxidative and reductive stress are dual dynamic phases experienced by the cells adapting to an endogenous or exogenous noxious stimulus. The former arises due to the imbalance between the production of reactive oxygen species (ROS) or free radicals and antioxidant defense, which may induce tissue injury and play a significant role in the pathogenesis of many diseases and mechanisms of complication</w:t>
      </w:r>
      <w:r w:rsidRPr="00E4782C" w:rsidR="00F2011F">
        <w:rPr>
          <w:rFonts w:asciiTheme="majorBidi" w:hAnsiTheme="majorBidi" w:cstheme="majorBidi"/>
          <w:color w:val="0D0D0D" w:themeColor="text1" w:themeTint="F2"/>
        </w:rPr>
        <w:t xml:space="preserve">s </w:t>
      </w:r>
      <w:r w:rsidRPr="00E4782C" w:rsidR="00F2011F">
        <w:rPr>
          <w:rFonts w:asciiTheme="majorBidi" w:hAnsiTheme="majorBidi" w:cstheme="majorBidi"/>
          <w:color w:val="0D0D0D" w:themeColor="text1" w:themeTint="F2"/>
          <w:vertAlign w:val="superscript"/>
        </w:rPr>
        <w:t>7-9</w:t>
      </w:r>
      <w:r w:rsidRPr="00E4782C" w:rsidR="007C4659">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Malondialdehyde is a decomposition product of auto-oxidation of polyunsaturated fatty acids, used as an oxidative damage index. The high concentration of MDA in those patients indicates increased membrane lipid peroxidation. Enhanced lipid peroxidation may occur as a result of the fact that naturally occurring scavenging mechanisms are suppressed, and the free radical generation processes are enhanced</w:t>
      </w:r>
      <w:r w:rsidRPr="00E4782C" w:rsidR="00F2011F">
        <w:rPr>
          <w:rFonts w:asciiTheme="majorBidi" w:hAnsiTheme="majorBidi" w:cstheme="majorBidi"/>
          <w:color w:val="0D0D0D" w:themeColor="text1" w:themeTint="F2"/>
          <w:vertAlign w:val="superscript"/>
        </w:rPr>
        <w:t>10-11</w:t>
      </w:r>
      <w:r w:rsidRPr="00E4782C" w:rsidR="007C4659">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 xml:space="preserve">The high concentration of MDA in those patients indicates increased membrane lipid </w:t>
      </w:r>
      <w:r w:rsidRPr="00E4782C">
        <w:rPr>
          <w:rFonts w:asciiTheme="majorBidi" w:hAnsiTheme="majorBidi" w:cstheme="majorBidi"/>
          <w:color w:val="0D0D0D" w:themeColor="text1" w:themeTint="F2"/>
        </w:rPr>
        <w:t>peroxidation.</w:t>
      </w:r>
      <w:r w:rsidRPr="00E4782C">
        <w:rPr>
          <w:rFonts w:asciiTheme="majorBidi" w:hAnsiTheme="majorBidi" w:cstheme="majorBidi"/>
          <w:color w:val="0D0D0D" w:themeColor="text1" w:themeTint="F2"/>
        </w:rPr>
        <w:t xml:space="preserve"> Regarding serum MDA levels, which are decomposition products of auto-oxidation of polyunsaturated fatty acids</w:t>
      </w:r>
      <w:r w:rsidRPr="00E4782C">
        <w:rPr>
          <w:rFonts w:asciiTheme="majorBidi" w:hAnsiTheme="majorBidi" w:cstheme="majorBidi"/>
          <w:color w:val="0D0D0D" w:themeColor="text1" w:themeTint="F2"/>
        </w:rPr>
        <w:t>, the index</w:t>
      </w:r>
      <w:r w:rsidRPr="00E4782C">
        <w:rPr>
          <w:rFonts w:asciiTheme="majorBidi" w:hAnsiTheme="majorBidi" w:cstheme="majorBidi"/>
          <w:color w:val="0D0D0D" w:themeColor="text1" w:themeTint="F2"/>
        </w:rPr>
        <w:t xml:space="preserve"> of lipid peroxidation and oxidative stress significantly increased in the paracetamol </w:t>
      </w:r>
      <w:r w:rsidRPr="00E4782C">
        <w:rPr>
          <w:rFonts w:asciiTheme="majorBidi" w:hAnsiTheme="majorBidi" w:cstheme="majorBidi"/>
          <w:color w:val="0D0D0D" w:themeColor="text1" w:themeTint="F2"/>
        </w:rPr>
        <w:t>group</w:t>
      </w:r>
      <w:r w:rsidRPr="00E4782C" w:rsidR="007C4659">
        <w:rPr>
          <w:rFonts w:asciiTheme="majorBidi" w:hAnsiTheme="majorBidi" w:cstheme="majorBidi"/>
          <w:color w:val="0D0D0D" w:themeColor="text1" w:themeTint="F2"/>
        </w:rPr>
        <w:t xml:space="preserve"> compared to the control group. </w:t>
      </w:r>
      <w:r w:rsidRPr="00E4782C">
        <w:rPr>
          <w:rFonts w:asciiTheme="majorBidi" w:hAnsiTheme="majorBidi" w:cstheme="majorBidi"/>
          <w:color w:val="0D0D0D" w:themeColor="text1" w:themeTint="F2"/>
        </w:rPr>
        <w:t xml:space="preserve">Glutathione (GSH) is a non-enzymatic tripeptide protecting the tissues and organs against the adverse effects of ROS. It plays a role in eliminating free radical species such as H2O2, superoxide radicals and membrane protein thiols. It is also known as a substrate of the </w:t>
      </w:r>
      <w:r w:rsidRPr="00E4782C">
        <w:rPr>
          <w:rFonts w:asciiTheme="majorBidi" w:hAnsiTheme="majorBidi" w:cstheme="majorBidi"/>
          <w:color w:val="0D0D0D" w:themeColor="text1" w:themeTint="F2"/>
        </w:rPr>
        <w:t>GPx</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enzyme.GSH</w:t>
      </w:r>
      <w:r w:rsidRPr="00E4782C">
        <w:rPr>
          <w:rFonts w:asciiTheme="majorBidi" w:hAnsiTheme="majorBidi" w:cstheme="majorBidi"/>
          <w:color w:val="0D0D0D" w:themeColor="text1" w:themeTint="F2"/>
        </w:rPr>
        <w:t xml:space="preserve"> significantly contributes to the detoxification of NAPQI and scavenging of </w:t>
      </w:r>
      <w:r w:rsidRPr="00E4782C">
        <w:rPr>
          <w:rFonts w:asciiTheme="majorBidi" w:hAnsiTheme="majorBidi" w:cstheme="majorBidi"/>
          <w:color w:val="0D0D0D" w:themeColor="text1" w:themeTint="F2"/>
        </w:rPr>
        <w:t>peroxynitrite</w:t>
      </w:r>
      <w:r w:rsidRPr="00E4782C">
        <w:rPr>
          <w:rFonts w:asciiTheme="majorBidi" w:hAnsiTheme="majorBidi" w:cstheme="majorBidi"/>
          <w:color w:val="0D0D0D" w:themeColor="text1" w:themeTint="F2"/>
        </w:rPr>
        <w:t xml:space="preserve"> in APAP hepatotoxicity. Nevertheless, excessive NAPQI induces prominent depletion of GSH and subsequently results in lipid peroxidation, which i</w:t>
      </w:r>
      <w:r w:rsidRPr="00E4782C" w:rsidR="007C4659">
        <w:rPr>
          <w:rFonts w:asciiTheme="majorBidi" w:hAnsiTheme="majorBidi" w:cstheme="majorBidi"/>
          <w:color w:val="0D0D0D" w:themeColor="text1" w:themeTint="F2"/>
        </w:rPr>
        <w:t>s indicated by MDA accumulation</w:t>
      </w:r>
      <w:r w:rsidRPr="00E4782C" w:rsidR="00F2011F">
        <w:rPr>
          <w:rFonts w:asciiTheme="majorBidi" w:hAnsiTheme="majorBidi" w:cstheme="majorBidi"/>
          <w:color w:val="0D0D0D" w:themeColor="text1" w:themeTint="F2"/>
          <w:vertAlign w:val="superscript"/>
        </w:rPr>
        <w:t>12,13</w:t>
      </w:r>
      <w:r w:rsidRPr="00E4782C">
        <w:rPr>
          <w:rFonts w:asciiTheme="majorBidi" w:hAnsiTheme="majorBidi" w:cstheme="majorBidi"/>
          <w:color w:val="0D0D0D" w:themeColor="text1" w:themeTint="F2"/>
        </w:rPr>
        <w:t>.</w:t>
      </w:r>
      <w:r w:rsidRPr="00E4782C" w:rsidR="007C4659">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 xml:space="preserve">The infiltrating inflammatory cells also generate ROS and free radicals, including hydroxyl radical superoxide anion, hydrogen peroxide and singlet </w:t>
      </w:r>
      <w:r w:rsidRPr="00E4782C">
        <w:rPr>
          <w:rFonts w:asciiTheme="majorBidi" w:hAnsiTheme="majorBidi" w:cstheme="majorBidi"/>
          <w:color w:val="0D0D0D" w:themeColor="text1" w:themeTint="F2"/>
        </w:rPr>
        <w:t>oxygen. Superoxide</w:t>
      </w:r>
      <w:r w:rsidRPr="00E4782C">
        <w:rPr>
          <w:rFonts w:asciiTheme="majorBidi" w:hAnsiTheme="majorBidi" w:cstheme="majorBidi"/>
          <w:color w:val="0D0D0D" w:themeColor="text1" w:themeTint="F2"/>
        </w:rPr>
        <w:t xml:space="preserve"> dismutase (SOD) is widely distributed in oxygen-metabolizing cells and can catalyze the </w:t>
      </w:r>
      <w:r w:rsidRPr="00E4782C">
        <w:rPr>
          <w:rFonts w:asciiTheme="majorBidi" w:hAnsiTheme="majorBidi" w:cstheme="majorBidi"/>
          <w:color w:val="0D0D0D" w:themeColor="text1" w:themeTint="F2"/>
        </w:rPr>
        <w:t>dismutase</w:t>
      </w:r>
      <w:r w:rsidRPr="00E4782C">
        <w:rPr>
          <w:rFonts w:asciiTheme="majorBidi" w:hAnsiTheme="majorBidi" w:cstheme="majorBidi"/>
          <w:color w:val="0D0D0D" w:themeColor="text1" w:themeTint="F2"/>
        </w:rPr>
        <w:t xml:space="preserve"> conversion of superoxide to oxygen and hydrogen peroxide. Then hydrogen peroxide is catalyzed to water by catalase and glutathione system. SOD and other enzymatic antioxidative agent activities decline in severe inflammatory and oxi</w:t>
      </w:r>
      <w:r w:rsidRPr="00E4782C" w:rsidR="00F2011F">
        <w:rPr>
          <w:rFonts w:asciiTheme="majorBidi" w:hAnsiTheme="majorBidi" w:cstheme="majorBidi"/>
          <w:color w:val="0D0D0D" w:themeColor="text1" w:themeTint="F2"/>
        </w:rPr>
        <w:t>dative stress conditions</w:t>
      </w:r>
      <w:r w:rsidRPr="00E4782C">
        <w:rPr>
          <w:rFonts w:asciiTheme="majorBidi" w:hAnsiTheme="majorBidi" w:cstheme="majorBidi"/>
          <w:color w:val="0D0D0D" w:themeColor="text1" w:themeTint="F2"/>
          <w:vertAlign w:val="superscript"/>
        </w:rPr>
        <w:t>14,15</w:t>
      </w:r>
      <w:r w:rsidRPr="00E4782C" w:rsidR="007C4659">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The SOD and catalase levels were significantly decreased in the paracetamol-treated rats, which might be due to the decrease in the capacity to eliminate increased H2O2, which is converted to highly reactive hydroxyl radical through Fenton reaction at the existence of enriched Fe2+/Cu1+</w:t>
      </w:r>
      <w:r w:rsidRPr="00E4782C" w:rsidR="00F2011F">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vertAlign w:val="superscript"/>
        </w:rPr>
        <w:t>16</w:t>
      </w:r>
      <w:r w:rsidRPr="00E4782C">
        <w:rPr>
          <w:rFonts w:asciiTheme="majorBidi" w:hAnsiTheme="majorBidi" w:cstheme="majorBidi"/>
          <w:color w:val="0D0D0D" w:themeColor="text1" w:themeTint="F2"/>
        </w:rPr>
        <w:t>.</w:t>
      </w:r>
      <w:r w:rsidRPr="00E4782C">
        <w:rPr>
          <w:rFonts w:asciiTheme="majorBidi" w:hAnsiTheme="majorBidi" w:cstheme="majorBidi"/>
          <w:color w:val="0D0D0D" w:themeColor="text1" w:themeTint="F2"/>
        </w:rPr>
        <w:t xml:space="preserve"> These results were in agreement with a study done by </w:t>
      </w:r>
      <w:r w:rsidRPr="00E4782C">
        <w:rPr>
          <w:rFonts w:asciiTheme="majorBidi" w:hAnsiTheme="majorBidi" w:cstheme="majorBidi"/>
          <w:color w:val="0D0D0D" w:themeColor="text1" w:themeTint="F2"/>
        </w:rPr>
        <w:t>Mervat</w:t>
      </w:r>
      <w:r w:rsidRPr="00E4782C" w:rsidR="00F2011F">
        <w:rPr>
          <w:rFonts w:asciiTheme="majorBidi" w:hAnsiTheme="majorBidi" w:cstheme="majorBidi"/>
          <w:color w:val="0D0D0D" w:themeColor="text1" w:themeTint="F2"/>
        </w:rPr>
        <w:t xml:space="preserve"> </w:t>
      </w:r>
      <w:r w:rsidRPr="00E4782C" w:rsidR="00F2011F">
        <w:rPr>
          <w:rFonts w:asciiTheme="majorBidi" w:hAnsiTheme="majorBidi" w:cstheme="majorBidi"/>
          <w:color w:val="0D0D0D" w:themeColor="text1" w:themeTint="F2"/>
          <w:vertAlign w:val="superscript"/>
        </w:rPr>
        <w:t>17</w:t>
      </w:r>
      <w:r w:rsidRPr="00E4782C">
        <w:rPr>
          <w:rFonts w:asciiTheme="majorBidi" w:hAnsiTheme="majorBidi" w:cstheme="majorBidi"/>
          <w:color w:val="0D0D0D" w:themeColor="text1" w:themeTint="F2"/>
        </w:rPr>
        <w:t>.</w:t>
      </w:r>
      <w:r w:rsidRPr="00E4782C" w:rsidR="007C4659">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Catalase,</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GPx</w:t>
      </w:r>
      <w:r w:rsidRPr="00E4782C">
        <w:rPr>
          <w:rFonts w:asciiTheme="majorBidi" w:hAnsiTheme="majorBidi" w:cstheme="majorBidi"/>
          <w:color w:val="0D0D0D" w:themeColor="text1" w:themeTint="F2"/>
        </w:rPr>
        <w:t xml:space="preserve"> and SOD are the two scavenging enzymes that enhance superoxide anion’s breakdown by converting them into H2O2 and are catalytically converted by catalase into </w:t>
      </w:r>
      <w:r w:rsidRPr="00E4782C">
        <w:rPr>
          <w:rFonts w:asciiTheme="majorBidi" w:hAnsiTheme="majorBidi" w:cstheme="majorBidi"/>
          <w:color w:val="0D0D0D" w:themeColor="text1" w:themeTint="F2"/>
        </w:rPr>
        <w:t>groundstate</w:t>
      </w:r>
      <w:r w:rsidRPr="00E4782C">
        <w:rPr>
          <w:rFonts w:asciiTheme="majorBidi" w:hAnsiTheme="majorBidi" w:cstheme="majorBidi"/>
          <w:color w:val="0D0D0D" w:themeColor="text1" w:themeTint="F2"/>
        </w:rPr>
        <w:t xml:space="preserve"> oxygen and hydroxyl radicals</w:t>
      </w:r>
      <w:r w:rsidRPr="00E4782C" w:rsidR="00F2011F">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vertAlign w:val="superscript"/>
        </w:rPr>
        <w:t>18,19</w:t>
      </w:r>
      <w:r w:rsidRPr="00E4782C" w:rsidR="007C4659">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GPx</w:t>
      </w:r>
      <w:r w:rsidRPr="00E4782C">
        <w:rPr>
          <w:rFonts w:asciiTheme="majorBidi" w:hAnsiTheme="majorBidi" w:cstheme="majorBidi"/>
          <w:color w:val="0D0D0D" w:themeColor="text1" w:themeTint="F2"/>
        </w:rPr>
        <w:t xml:space="preserve"> serves to prevent oxidative stress. </w:t>
      </w:r>
      <w:r w:rsidRPr="00E4782C">
        <w:rPr>
          <w:rFonts w:asciiTheme="majorBidi" w:hAnsiTheme="majorBidi" w:cstheme="majorBidi"/>
          <w:color w:val="0D0D0D" w:themeColor="text1" w:themeTint="F2"/>
        </w:rPr>
        <w:t>GPx</w:t>
      </w:r>
      <w:r w:rsidRPr="00E4782C">
        <w:rPr>
          <w:rFonts w:asciiTheme="majorBidi" w:hAnsiTheme="majorBidi" w:cstheme="majorBidi"/>
          <w:color w:val="0D0D0D" w:themeColor="text1" w:themeTint="F2"/>
        </w:rPr>
        <w:t xml:space="preserve">, a selenium-containing enzyme, and GST collaborate with GSH to degrade H2O2 or other organic into non-toxic </w:t>
      </w:r>
      <w:r w:rsidRPr="00E4782C">
        <w:rPr>
          <w:rFonts w:asciiTheme="majorBidi" w:hAnsiTheme="majorBidi" w:cstheme="majorBidi"/>
          <w:color w:val="0D0D0D" w:themeColor="text1" w:themeTint="F2"/>
        </w:rPr>
        <w:t>compounds. The</w:t>
      </w:r>
      <w:r w:rsidRPr="00E4782C">
        <w:rPr>
          <w:rFonts w:asciiTheme="majorBidi" w:hAnsiTheme="majorBidi" w:cstheme="majorBidi"/>
          <w:color w:val="0D0D0D" w:themeColor="text1" w:themeTint="F2"/>
        </w:rPr>
        <w:t xml:space="preserve"> treatment of paracetamol in rats decreased the levels of Catalase, </w:t>
      </w:r>
      <w:r w:rsidRPr="00E4782C">
        <w:rPr>
          <w:rFonts w:asciiTheme="majorBidi" w:hAnsiTheme="majorBidi" w:cstheme="majorBidi"/>
          <w:color w:val="0D0D0D" w:themeColor="text1" w:themeTint="F2"/>
        </w:rPr>
        <w:t>GPx</w:t>
      </w:r>
      <w:r w:rsidRPr="00E4782C">
        <w:rPr>
          <w:rFonts w:asciiTheme="majorBidi" w:hAnsiTheme="majorBidi" w:cstheme="majorBidi"/>
          <w:color w:val="0D0D0D" w:themeColor="text1" w:themeTint="F2"/>
        </w:rPr>
        <w:t xml:space="preserve"> and SOD</w:t>
      </w:r>
      <w:r w:rsidRPr="00E4782C" w:rsidR="00F2011F">
        <w:rPr>
          <w:rFonts w:asciiTheme="majorBidi" w:hAnsiTheme="majorBidi" w:cstheme="majorBidi"/>
          <w:color w:val="0D0D0D" w:themeColor="text1" w:themeTint="F2"/>
          <w:vertAlign w:val="superscript"/>
        </w:rPr>
        <w:t>20</w:t>
      </w:r>
      <w:r w:rsidRPr="00E4782C">
        <w:rPr>
          <w:rFonts w:asciiTheme="majorBidi" w:hAnsiTheme="majorBidi" w:cstheme="majorBidi"/>
          <w:color w:val="0D0D0D" w:themeColor="text1" w:themeTint="F2"/>
        </w:rPr>
        <w:t xml:space="preserve">.   </w:t>
      </w:r>
    </w:p>
    <w:p w:rsidR="008244B1" w:rsidRPr="00E4782C" w:rsidP="007C4659" w14:paraId="30690BDA" w14:textId="2F795427">
      <w:pPr>
        <w:pStyle w:val="Biont21heading1"/>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 xml:space="preserve">5. </w:t>
      </w:r>
      <w:r w:rsidRPr="00E4782C">
        <w:rPr>
          <w:rFonts w:asciiTheme="majorBidi" w:hAnsiTheme="majorBidi" w:cstheme="majorBidi"/>
          <w:color w:val="0D0D0D" w:themeColor="text1" w:themeTint="F2"/>
        </w:rPr>
        <w:t>Conclusion</w:t>
      </w:r>
    </w:p>
    <w:p w:rsidR="00C02E39" w:rsidRPr="00E4782C" w:rsidP="007C4659" w14:paraId="136A79A7" w14:textId="1C702374">
      <w:pPr>
        <w:pStyle w:val="Biont31text"/>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P</w:t>
      </w:r>
      <w:r w:rsidRPr="00E4782C">
        <w:rPr>
          <w:rFonts w:asciiTheme="majorBidi" w:hAnsiTheme="majorBidi" w:cstheme="majorBidi"/>
          <w:color w:val="0D0D0D" w:themeColor="text1" w:themeTint="F2"/>
        </w:rPr>
        <w:t>aracetamol</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 xml:space="preserve">administration produces noticeable biochemical changes in a </w:t>
      </w:r>
      <w:r w:rsidRPr="00E4782C">
        <w:rPr>
          <w:rFonts w:asciiTheme="majorBidi" w:hAnsiTheme="majorBidi" w:cstheme="majorBidi"/>
          <w:color w:val="0D0D0D" w:themeColor="text1" w:themeTint="F2"/>
        </w:rPr>
        <w:t>dose-dependent</w:t>
      </w:r>
      <w:r w:rsidRPr="00E4782C">
        <w:rPr>
          <w:rFonts w:asciiTheme="majorBidi" w:hAnsiTheme="majorBidi" w:cstheme="majorBidi"/>
          <w:color w:val="0D0D0D" w:themeColor="text1" w:themeTint="F2"/>
        </w:rPr>
        <w:t xml:space="preserve"> manner associated with increased </w:t>
      </w:r>
      <w:r w:rsidRPr="00E4782C">
        <w:rPr>
          <w:rFonts w:asciiTheme="majorBidi" w:hAnsiTheme="majorBidi" w:cstheme="majorBidi"/>
          <w:color w:val="0D0D0D" w:themeColor="text1" w:themeTint="F2"/>
        </w:rPr>
        <w:t>MDAm</w:t>
      </w:r>
      <w:r w:rsidRPr="00E4782C">
        <w:rPr>
          <w:rFonts w:asciiTheme="majorBidi" w:hAnsiTheme="majorBidi" w:cstheme="majorBidi"/>
          <w:color w:val="0D0D0D" w:themeColor="text1" w:themeTint="F2"/>
        </w:rPr>
        <w:t xml:space="preserve"> and decreased </w:t>
      </w:r>
      <w:r w:rsidRPr="00E4782C">
        <w:rPr>
          <w:rFonts w:asciiTheme="majorBidi" w:hAnsiTheme="majorBidi" w:cstheme="majorBidi"/>
          <w:color w:val="0D0D0D" w:themeColor="text1" w:themeTint="F2"/>
        </w:rPr>
        <w:t>Catalase,</w:t>
      </w:r>
      <w:r w:rsidRPr="00E4782C">
        <w:rPr>
          <w:rFonts w:asciiTheme="majorBidi" w:hAnsiTheme="majorBidi" w:cstheme="majorBidi"/>
          <w:color w:val="0D0D0D" w:themeColor="text1" w:themeTint="F2"/>
        </w:rPr>
        <w:t xml:space="preserve"> GSH and SOD.</w:t>
      </w:r>
    </w:p>
    <w:p w:rsidR="00C53BA4" w:rsidRPr="00E4782C" w:rsidP="007C4659" w14:paraId="07D1AB47" w14:textId="33202911">
      <w:pPr>
        <w:pStyle w:val="Biont21heading1"/>
        <w:ind w:left="0"/>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References</w:t>
      </w:r>
    </w:p>
    <w:p w:rsidR="008244B1" w:rsidRPr="00E4782C" w:rsidP="00B10155" w14:paraId="70B457C1" w14:textId="138A6DCE">
      <w:pPr>
        <w:pStyle w:val="Biont71References"/>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S</w:t>
      </w:r>
      <w:r w:rsidRPr="00E4782C" w:rsidR="00B10155">
        <w:rPr>
          <w:rFonts w:asciiTheme="majorBidi" w:hAnsiTheme="majorBidi" w:cstheme="majorBidi"/>
          <w:color w:val="0D0D0D" w:themeColor="text1" w:themeTint="F2"/>
        </w:rPr>
        <w:t>arhat</w:t>
      </w:r>
      <w:r w:rsidRPr="00E4782C" w:rsidR="00B10155">
        <w:rPr>
          <w:rFonts w:asciiTheme="majorBidi" w:hAnsiTheme="majorBidi" w:cstheme="majorBidi"/>
          <w:color w:val="0D0D0D" w:themeColor="text1" w:themeTint="F2"/>
        </w:rPr>
        <w:t xml:space="preserve">, E. R.; </w:t>
      </w:r>
      <w:r w:rsidRPr="00E4782C" w:rsidR="00B10155">
        <w:rPr>
          <w:rFonts w:asciiTheme="majorBidi" w:hAnsiTheme="majorBidi" w:cstheme="majorBidi"/>
          <w:color w:val="0D0D0D" w:themeColor="text1" w:themeTint="F2"/>
        </w:rPr>
        <w:t>Wadee</w:t>
      </w:r>
      <w:r w:rsidRPr="00E4782C" w:rsidR="00B10155">
        <w:rPr>
          <w:rFonts w:asciiTheme="majorBidi" w:hAnsiTheme="majorBidi" w:cstheme="majorBidi"/>
          <w:color w:val="0D0D0D" w:themeColor="text1" w:themeTint="F2"/>
        </w:rPr>
        <w:t xml:space="preserve">, S. A.; </w:t>
      </w:r>
      <w:r w:rsidRPr="00E4782C" w:rsidR="00B10155">
        <w:rPr>
          <w:rFonts w:asciiTheme="majorBidi" w:hAnsiTheme="majorBidi" w:cstheme="majorBidi"/>
          <w:color w:val="0D0D0D" w:themeColor="text1" w:themeTint="F2"/>
        </w:rPr>
        <w:t>Sedeeq</w:t>
      </w:r>
      <w:r w:rsidRPr="00E4782C" w:rsidR="00B10155">
        <w:rPr>
          <w:rFonts w:asciiTheme="majorBidi" w:hAnsiTheme="majorBidi" w:cstheme="majorBidi"/>
          <w:color w:val="0D0D0D" w:themeColor="text1" w:themeTint="F2"/>
        </w:rPr>
        <w:t xml:space="preserve">, B. I.; </w:t>
      </w:r>
      <w:r w:rsidRPr="00E4782C" w:rsidR="00B10155">
        <w:rPr>
          <w:rFonts w:asciiTheme="majorBidi" w:hAnsiTheme="majorBidi" w:cstheme="majorBidi"/>
          <w:color w:val="0D0D0D" w:themeColor="text1" w:themeTint="F2"/>
        </w:rPr>
        <w:t>Sarhat</w:t>
      </w:r>
      <w:r w:rsidRPr="00E4782C" w:rsidR="00B10155">
        <w:rPr>
          <w:rFonts w:asciiTheme="majorBidi" w:hAnsiTheme="majorBidi" w:cstheme="majorBidi"/>
          <w:color w:val="0D0D0D" w:themeColor="text1" w:themeTint="F2"/>
        </w:rPr>
        <w:t xml:space="preserve">, T. R.; </w:t>
      </w:r>
      <w:r w:rsidRPr="00E4782C" w:rsidR="00B10155">
        <w:rPr>
          <w:rFonts w:asciiTheme="majorBidi" w:hAnsiTheme="majorBidi" w:cstheme="majorBidi"/>
          <w:color w:val="0D0D0D" w:themeColor="text1" w:themeTint="F2"/>
        </w:rPr>
        <w:t>Abass</w:t>
      </w:r>
      <w:r w:rsidRPr="00E4782C" w:rsidR="00B10155">
        <w:rPr>
          <w:rFonts w:asciiTheme="majorBidi" w:hAnsiTheme="majorBidi" w:cstheme="majorBidi"/>
          <w:color w:val="0D0D0D" w:themeColor="text1" w:themeTint="F2"/>
        </w:rPr>
        <w:t xml:space="preserve">, K. S. </w:t>
      </w:r>
      <w:r w:rsidRPr="00E4782C" w:rsidR="003B4638">
        <w:rPr>
          <w:rFonts w:asciiTheme="majorBidi" w:hAnsiTheme="majorBidi" w:cstheme="majorBidi"/>
          <w:color w:val="0D0D0D" w:themeColor="text1" w:themeTint="F2"/>
        </w:rPr>
        <w:t>Biochemical and histological evaluation of indomethacin-induced hepatotoxicity in rats. </w:t>
      </w:r>
      <w:r w:rsidRPr="00E4782C" w:rsidR="003B4638">
        <w:rPr>
          <w:rFonts w:asciiTheme="majorBidi" w:hAnsiTheme="majorBidi" w:cstheme="majorBidi"/>
          <w:i/>
          <w:iCs/>
          <w:color w:val="0D0D0D" w:themeColor="text1" w:themeTint="F2"/>
        </w:rPr>
        <w:t>Indian Journal of Forensic Medicine &amp; Toxicology</w:t>
      </w:r>
      <w:r w:rsidRPr="00E4782C" w:rsidR="003B4638">
        <w:rPr>
          <w:rFonts w:asciiTheme="majorBidi" w:hAnsiTheme="majorBidi" w:cstheme="majorBidi"/>
          <w:color w:val="0D0D0D" w:themeColor="text1" w:themeTint="F2"/>
        </w:rPr>
        <w:t xml:space="preserve">, </w:t>
      </w:r>
      <w:r w:rsidRPr="00E4782C" w:rsidR="003B4638">
        <w:rPr>
          <w:rFonts w:asciiTheme="majorBidi" w:hAnsiTheme="majorBidi" w:cstheme="majorBidi"/>
          <w:b/>
          <w:bCs/>
          <w:color w:val="0D0D0D" w:themeColor="text1" w:themeTint="F2"/>
        </w:rPr>
        <w:t>2018</w:t>
      </w:r>
      <w:r w:rsidRPr="00E4782C" w:rsidR="003B4638">
        <w:rPr>
          <w:rFonts w:asciiTheme="majorBidi" w:hAnsiTheme="majorBidi" w:cstheme="majorBidi"/>
          <w:color w:val="0D0D0D" w:themeColor="text1" w:themeTint="F2"/>
        </w:rPr>
        <w:t>, 10.4: 733-735</w:t>
      </w:r>
      <w:r w:rsidRPr="00E4782C">
        <w:rPr>
          <w:rFonts w:asciiTheme="majorBidi" w:hAnsiTheme="majorBidi" w:cstheme="majorBidi"/>
          <w:color w:val="0D0D0D" w:themeColor="text1" w:themeTint="F2"/>
        </w:rPr>
        <w:t>.</w:t>
      </w:r>
    </w:p>
    <w:p w:rsidR="008244B1" w:rsidRPr="00E4782C" w:rsidP="00B10155" w14:paraId="519769CB" w14:textId="02780AF4">
      <w:pPr>
        <w:pStyle w:val="Biont71References"/>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 xml:space="preserve">Abdullah, B. A.; Wadi, S. A.; </w:t>
      </w:r>
      <w:r w:rsidRPr="00E4782C">
        <w:rPr>
          <w:rFonts w:asciiTheme="majorBidi" w:hAnsiTheme="majorBidi" w:cstheme="majorBidi"/>
          <w:color w:val="0D0D0D" w:themeColor="text1" w:themeTint="F2"/>
        </w:rPr>
        <w:t>Sarhat</w:t>
      </w:r>
      <w:r w:rsidRPr="00E4782C">
        <w:rPr>
          <w:rFonts w:asciiTheme="majorBidi" w:hAnsiTheme="majorBidi" w:cstheme="majorBidi"/>
          <w:color w:val="0D0D0D" w:themeColor="text1" w:themeTint="F2"/>
        </w:rPr>
        <w:t>, E</w:t>
      </w:r>
      <w:r w:rsidRPr="00E4782C">
        <w:rPr>
          <w:rFonts w:asciiTheme="majorBidi" w:hAnsiTheme="majorBidi" w:cstheme="majorBidi"/>
          <w:color w:val="0D0D0D" w:themeColor="text1" w:themeTint="F2"/>
        </w:rPr>
        <w:t xml:space="preserve">. Histological Study Effects of Paracetamol on Livers and Kidneys of Adult Mice. </w:t>
      </w:r>
      <w:r w:rsidRPr="00E4782C">
        <w:rPr>
          <w:rFonts w:asciiTheme="majorBidi" w:hAnsiTheme="majorBidi" w:cstheme="majorBidi"/>
          <w:i/>
          <w:iCs/>
          <w:color w:val="0D0D0D" w:themeColor="text1" w:themeTint="F2"/>
        </w:rPr>
        <w:t xml:space="preserve">Tikrit Journal for Agricultural Sciences, </w:t>
      </w:r>
      <w:r w:rsidRPr="00E4782C">
        <w:rPr>
          <w:rFonts w:asciiTheme="majorBidi" w:hAnsiTheme="majorBidi" w:cstheme="majorBidi"/>
          <w:b/>
          <w:bCs/>
          <w:color w:val="0D0D0D" w:themeColor="text1" w:themeTint="F2"/>
        </w:rPr>
        <w:t>2017</w:t>
      </w:r>
      <w:r w:rsidRPr="00E4782C">
        <w:rPr>
          <w:rFonts w:asciiTheme="majorBidi" w:hAnsiTheme="majorBidi" w:cstheme="majorBidi"/>
          <w:color w:val="0D0D0D" w:themeColor="text1" w:themeTint="F2"/>
        </w:rPr>
        <w:t xml:space="preserve">, 17. Special: </w:t>
      </w:r>
      <w:r w:rsidRPr="00E4782C">
        <w:rPr>
          <w:rFonts w:asciiTheme="majorBidi" w:hAnsiTheme="majorBidi" w:cstheme="majorBidi"/>
          <w:color w:val="0D0D0D" w:themeColor="text1" w:themeTint="F2"/>
        </w:rPr>
        <w:t>97-103., 6th Scientific Conference for Agricultural Researches, 28-29 March, 2017 ISSN-1813-1646</w:t>
      </w:r>
    </w:p>
    <w:p w:rsidR="008244B1" w:rsidRPr="00E4782C" w:rsidP="004C1C48" w14:paraId="38C27321" w14:textId="4BC70EEF">
      <w:pPr>
        <w:pStyle w:val="Biont71References"/>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Bkhairia</w:t>
      </w:r>
      <w:r w:rsidRPr="00E4782C">
        <w:rPr>
          <w:rFonts w:asciiTheme="majorBidi" w:hAnsiTheme="majorBidi" w:cstheme="majorBidi"/>
          <w:color w:val="0D0D0D" w:themeColor="text1" w:themeTint="F2"/>
        </w:rPr>
        <w:t xml:space="preserve">, I.; </w:t>
      </w:r>
      <w:r w:rsidRPr="00E4782C">
        <w:rPr>
          <w:rFonts w:asciiTheme="majorBidi" w:hAnsiTheme="majorBidi" w:cstheme="majorBidi"/>
          <w:color w:val="0D0D0D" w:themeColor="text1" w:themeTint="F2"/>
        </w:rPr>
        <w:t>Dhibi</w:t>
      </w:r>
      <w:r w:rsidRPr="00E4782C">
        <w:rPr>
          <w:rFonts w:asciiTheme="majorBidi" w:hAnsiTheme="majorBidi" w:cstheme="majorBidi"/>
          <w:color w:val="0D0D0D" w:themeColor="text1" w:themeTint="F2"/>
        </w:rPr>
        <w:t xml:space="preserve">, S.; </w:t>
      </w:r>
      <w:r w:rsidRPr="00E4782C">
        <w:rPr>
          <w:rFonts w:asciiTheme="majorBidi" w:hAnsiTheme="majorBidi" w:cstheme="majorBidi"/>
          <w:color w:val="0D0D0D" w:themeColor="text1" w:themeTint="F2"/>
        </w:rPr>
        <w:t>Nasri</w:t>
      </w:r>
      <w:r w:rsidRPr="00E4782C">
        <w:rPr>
          <w:rFonts w:asciiTheme="majorBidi" w:hAnsiTheme="majorBidi" w:cstheme="majorBidi"/>
          <w:color w:val="0D0D0D" w:themeColor="text1" w:themeTint="F2"/>
        </w:rPr>
        <w:t xml:space="preserve">, R.; </w:t>
      </w:r>
      <w:r w:rsidRPr="00E4782C">
        <w:rPr>
          <w:rFonts w:asciiTheme="majorBidi" w:hAnsiTheme="majorBidi" w:cstheme="majorBidi"/>
          <w:color w:val="0D0D0D" w:themeColor="text1" w:themeTint="F2"/>
        </w:rPr>
        <w:t>Elfeki</w:t>
      </w:r>
      <w:r w:rsidRPr="00E4782C">
        <w:rPr>
          <w:rFonts w:asciiTheme="majorBidi" w:hAnsiTheme="majorBidi" w:cstheme="majorBidi"/>
          <w:color w:val="0D0D0D" w:themeColor="text1" w:themeTint="F2"/>
        </w:rPr>
        <w:t xml:space="preserve">, A.; </w:t>
      </w:r>
      <w:r w:rsidRPr="00E4782C">
        <w:rPr>
          <w:rFonts w:asciiTheme="majorBidi" w:hAnsiTheme="majorBidi" w:cstheme="majorBidi"/>
          <w:color w:val="0D0D0D" w:themeColor="text1" w:themeTint="F2"/>
        </w:rPr>
        <w:t>Hfaiyedh</w:t>
      </w:r>
      <w:r w:rsidRPr="00E4782C">
        <w:rPr>
          <w:rFonts w:asciiTheme="majorBidi" w:hAnsiTheme="majorBidi" w:cstheme="majorBidi"/>
          <w:color w:val="0D0D0D" w:themeColor="text1" w:themeTint="F2"/>
        </w:rPr>
        <w:t xml:space="preserve">, N.; Amara, I. B.; </w:t>
      </w:r>
      <w:r w:rsidRPr="00E4782C">
        <w:rPr>
          <w:rFonts w:asciiTheme="majorBidi" w:hAnsiTheme="majorBidi" w:cstheme="majorBidi"/>
          <w:color w:val="0D0D0D" w:themeColor="text1" w:themeTint="F2"/>
        </w:rPr>
        <w:t>Nasri</w:t>
      </w:r>
      <w:r w:rsidRPr="00E4782C">
        <w:rPr>
          <w:rFonts w:asciiTheme="majorBidi" w:hAnsiTheme="majorBidi" w:cstheme="majorBidi"/>
          <w:color w:val="0D0D0D" w:themeColor="text1" w:themeTint="F2"/>
        </w:rPr>
        <w:t>, M. Bioactive properties: enhancement of hepatoprotective, antioxidant and DNA damage protective effects of golden grey mullet protein hydrolysates against paracetamol toxicity. </w:t>
      </w:r>
      <w:r w:rsidRPr="00E4782C">
        <w:rPr>
          <w:rFonts w:asciiTheme="majorBidi" w:hAnsiTheme="majorBidi" w:cstheme="majorBidi"/>
          <w:i/>
          <w:iCs/>
          <w:color w:val="0D0D0D" w:themeColor="text1" w:themeTint="F2"/>
        </w:rPr>
        <w:t>RSC advances</w:t>
      </w:r>
      <w:r w:rsidRPr="00E4782C">
        <w:rPr>
          <w:rFonts w:asciiTheme="majorBidi" w:hAnsiTheme="majorBidi" w:cstheme="majorBidi"/>
          <w:color w:val="0D0D0D" w:themeColor="text1" w:themeTint="F2"/>
        </w:rPr>
        <w:t xml:space="preserve">, </w:t>
      </w:r>
      <w:r w:rsidRPr="00E4782C">
        <w:rPr>
          <w:rFonts w:asciiTheme="majorBidi" w:hAnsiTheme="majorBidi" w:cstheme="majorBidi"/>
          <w:b/>
          <w:bCs/>
          <w:color w:val="0D0D0D" w:themeColor="text1" w:themeTint="F2"/>
        </w:rPr>
        <w:t>2018</w:t>
      </w:r>
      <w:r w:rsidRPr="00E4782C">
        <w:rPr>
          <w:rFonts w:asciiTheme="majorBidi" w:hAnsiTheme="majorBidi" w:cstheme="majorBidi"/>
          <w:color w:val="0D0D0D" w:themeColor="text1" w:themeTint="F2"/>
        </w:rPr>
        <w:t>, 8.41: 23230-23240</w:t>
      </w:r>
      <w:r w:rsidRPr="00E4782C">
        <w:rPr>
          <w:rFonts w:asciiTheme="majorBidi" w:hAnsiTheme="majorBidi" w:cstheme="majorBidi"/>
          <w:color w:val="0D0D0D" w:themeColor="text1" w:themeTint="F2"/>
        </w:rPr>
        <w:t>. DOI: </w:t>
      </w:r>
      <w:hyperlink r:id="rId9" w:tgtFrame="_blank" w:tooltip="Link to landing page via DOI" w:history="1">
        <w:r w:rsidRPr="00E4782C">
          <w:rPr>
            <w:rStyle w:val="Hyperlink"/>
            <w:rFonts w:asciiTheme="majorBidi" w:hAnsiTheme="majorBidi" w:cstheme="majorBidi"/>
            <w:color w:val="0D0D0D" w:themeColor="text1" w:themeTint="F2"/>
            <w:u w:val="none"/>
          </w:rPr>
          <w:t>10.1039/ C8RA02178C</w:t>
        </w:r>
      </w:hyperlink>
      <w:r w:rsidRPr="00E4782C">
        <w:rPr>
          <w:rFonts w:asciiTheme="majorBidi" w:hAnsiTheme="majorBidi" w:cstheme="majorBidi"/>
          <w:color w:val="0D0D0D" w:themeColor="text1" w:themeTint="F2"/>
        </w:rPr>
        <w:t>.</w:t>
      </w:r>
    </w:p>
    <w:p w:rsidR="008244B1" w:rsidRPr="00E4782C" w:rsidP="004C1C48" w14:paraId="16C77F6C" w14:textId="6B4C8E39">
      <w:pPr>
        <w:pStyle w:val="Biont71References"/>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Canayakin</w:t>
      </w:r>
      <w:r w:rsidRPr="00E4782C">
        <w:rPr>
          <w:rFonts w:asciiTheme="majorBidi" w:hAnsiTheme="majorBidi" w:cstheme="majorBidi"/>
          <w:color w:val="0D0D0D" w:themeColor="text1" w:themeTint="F2"/>
        </w:rPr>
        <w:t xml:space="preserve">, D.; </w:t>
      </w:r>
      <w:r w:rsidRPr="00E4782C">
        <w:rPr>
          <w:rFonts w:asciiTheme="majorBidi" w:hAnsiTheme="majorBidi" w:cstheme="majorBidi"/>
          <w:color w:val="0D0D0D" w:themeColor="text1" w:themeTint="F2"/>
        </w:rPr>
        <w:t>Bayir</w:t>
      </w:r>
      <w:r w:rsidRPr="00E4782C">
        <w:rPr>
          <w:rFonts w:asciiTheme="majorBidi" w:hAnsiTheme="majorBidi" w:cstheme="majorBidi"/>
          <w:color w:val="0D0D0D" w:themeColor="text1" w:themeTint="F2"/>
        </w:rPr>
        <w:t xml:space="preserve">, Y.; </w:t>
      </w:r>
      <w:r w:rsidRPr="00E4782C">
        <w:rPr>
          <w:rFonts w:asciiTheme="majorBidi" w:hAnsiTheme="majorBidi" w:cstheme="majorBidi"/>
          <w:color w:val="0D0D0D" w:themeColor="text1" w:themeTint="F2"/>
        </w:rPr>
        <w:t>Kilic</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Baygutalp</w:t>
      </w:r>
      <w:r w:rsidRPr="00E4782C">
        <w:rPr>
          <w:rFonts w:asciiTheme="majorBidi" w:hAnsiTheme="majorBidi" w:cstheme="majorBidi"/>
          <w:color w:val="0D0D0D" w:themeColor="text1" w:themeTint="F2"/>
        </w:rPr>
        <w:t xml:space="preserve">, N.; </w:t>
      </w:r>
      <w:r w:rsidRPr="00E4782C">
        <w:rPr>
          <w:rFonts w:asciiTheme="majorBidi" w:hAnsiTheme="majorBidi" w:cstheme="majorBidi"/>
          <w:color w:val="0D0D0D" w:themeColor="text1" w:themeTint="F2"/>
        </w:rPr>
        <w:t>Sezen</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Karaoglan</w:t>
      </w:r>
      <w:r w:rsidRPr="00E4782C">
        <w:rPr>
          <w:rFonts w:asciiTheme="majorBidi" w:hAnsiTheme="majorBidi" w:cstheme="majorBidi"/>
          <w:color w:val="0D0D0D" w:themeColor="text1" w:themeTint="F2"/>
        </w:rPr>
        <w:t xml:space="preserve">, E.; </w:t>
      </w:r>
      <w:r w:rsidRPr="00E4782C">
        <w:rPr>
          <w:rFonts w:asciiTheme="majorBidi" w:hAnsiTheme="majorBidi" w:cstheme="majorBidi"/>
          <w:color w:val="0D0D0D" w:themeColor="text1" w:themeTint="F2"/>
        </w:rPr>
        <w:t>Atmaca</w:t>
      </w:r>
      <w:r w:rsidRPr="00E4782C">
        <w:rPr>
          <w:rFonts w:asciiTheme="majorBidi" w:hAnsiTheme="majorBidi" w:cstheme="majorBidi"/>
          <w:color w:val="0D0D0D" w:themeColor="text1" w:themeTint="F2"/>
        </w:rPr>
        <w:t xml:space="preserve">, H. T.; </w:t>
      </w:r>
      <w:r w:rsidRPr="00E4782C">
        <w:rPr>
          <w:rFonts w:asciiTheme="majorBidi" w:hAnsiTheme="majorBidi" w:cstheme="majorBidi"/>
          <w:color w:val="0D0D0D" w:themeColor="text1" w:themeTint="F2"/>
        </w:rPr>
        <w:t>Kocak</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Ozgeris</w:t>
      </w:r>
      <w:r w:rsidRPr="00E4782C">
        <w:rPr>
          <w:rFonts w:asciiTheme="majorBidi" w:hAnsiTheme="majorBidi" w:cstheme="majorBidi"/>
          <w:color w:val="0D0D0D" w:themeColor="text1" w:themeTint="F2"/>
        </w:rPr>
        <w:t>, F. B.;</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Keles</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M</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S</w:t>
      </w:r>
      <w:r w:rsidRPr="00E4782C">
        <w:rPr>
          <w:rFonts w:asciiTheme="majorBidi" w:hAnsiTheme="majorBidi" w:cstheme="majorBidi"/>
          <w:color w:val="0D0D0D" w:themeColor="text1" w:themeTint="F2"/>
        </w:rPr>
        <w:t>.;</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Halici</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Z</w:t>
      </w:r>
      <w:r w:rsidRPr="00E4782C">
        <w:rPr>
          <w:rFonts w:asciiTheme="majorBidi" w:hAnsiTheme="majorBidi" w:cstheme="majorBidi"/>
          <w:color w:val="0D0D0D" w:themeColor="text1" w:themeTint="F2"/>
        </w:rPr>
        <w:t>. Paracetamol-induced nephrotoxicity and oxidative stress in rats: the protective role of Nigella sativa. </w:t>
      </w:r>
      <w:r w:rsidRPr="00E4782C">
        <w:rPr>
          <w:rFonts w:asciiTheme="majorBidi" w:hAnsiTheme="majorBidi" w:cstheme="majorBidi"/>
          <w:i/>
          <w:iCs/>
          <w:color w:val="0D0D0D" w:themeColor="text1" w:themeTint="F2"/>
        </w:rPr>
        <w:t>Pharmaceutical biology</w:t>
      </w:r>
      <w:r w:rsidRPr="00E4782C">
        <w:rPr>
          <w:rFonts w:asciiTheme="majorBidi" w:hAnsiTheme="majorBidi" w:cstheme="majorBidi"/>
          <w:color w:val="0D0D0D" w:themeColor="text1" w:themeTint="F2"/>
        </w:rPr>
        <w:t xml:space="preserve">, </w:t>
      </w:r>
      <w:r w:rsidRPr="00E4782C">
        <w:rPr>
          <w:rFonts w:asciiTheme="majorBidi" w:hAnsiTheme="majorBidi" w:cstheme="majorBidi"/>
          <w:b/>
          <w:bCs/>
          <w:color w:val="0D0D0D" w:themeColor="text1" w:themeTint="F2"/>
        </w:rPr>
        <w:t>2016</w:t>
      </w:r>
      <w:r w:rsidRPr="00E4782C">
        <w:rPr>
          <w:rFonts w:asciiTheme="majorBidi" w:hAnsiTheme="majorBidi" w:cstheme="majorBidi"/>
          <w:color w:val="0D0D0D" w:themeColor="text1" w:themeTint="F2"/>
        </w:rPr>
        <w:t xml:space="preserve">, 54.10: 2082-209. </w:t>
      </w:r>
      <w:r w:rsidRPr="00E4782C">
        <w:rPr>
          <w:rFonts w:asciiTheme="majorBidi" w:hAnsiTheme="majorBidi" w:cstheme="majorBidi"/>
          <w:color w:val="0D0D0D" w:themeColor="text1" w:themeTint="F2"/>
        </w:rPr>
        <w:t>DOI: </w:t>
      </w:r>
      <w:hyperlink r:id="rId10" w:history="1">
        <w:r w:rsidRPr="00E4782C">
          <w:rPr>
            <w:rStyle w:val="Hyperlink"/>
            <w:rFonts w:asciiTheme="majorBidi" w:hAnsiTheme="majorBidi" w:cstheme="majorBidi"/>
            <w:color w:val="0D0D0D" w:themeColor="text1" w:themeTint="F2"/>
            <w:u w:val="none"/>
          </w:rPr>
          <w:t>10.3109/13880209.2016.1145701</w:t>
        </w:r>
      </w:hyperlink>
    </w:p>
    <w:p w:rsidR="008244B1" w:rsidRPr="00E4782C" w:rsidP="004C1C48" w14:paraId="7E70222E" w14:textId="45194857">
      <w:pPr>
        <w:pStyle w:val="Biont71References"/>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 xml:space="preserve">Zakaria, Z. A.; </w:t>
      </w:r>
      <w:r w:rsidRPr="00E4782C">
        <w:rPr>
          <w:rFonts w:asciiTheme="majorBidi" w:hAnsiTheme="majorBidi" w:cstheme="majorBidi"/>
          <w:color w:val="0D0D0D" w:themeColor="text1" w:themeTint="F2"/>
        </w:rPr>
        <w:t>Kamisan</w:t>
      </w:r>
      <w:r w:rsidRPr="00E4782C">
        <w:rPr>
          <w:rFonts w:asciiTheme="majorBidi" w:hAnsiTheme="majorBidi" w:cstheme="majorBidi"/>
          <w:color w:val="0D0D0D" w:themeColor="text1" w:themeTint="F2"/>
        </w:rPr>
        <w:t>, F. H.; Kek, T. L.; Salleh, M. Z.</w:t>
      </w:r>
      <w:r w:rsidRPr="00E4782C">
        <w:rPr>
          <w:rFonts w:asciiTheme="majorBidi" w:hAnsiTheme="majorBidi" w:cstheme="majorBidi"/>
          <w:color w:val="0D0D0D" w:themeColor="text1" w:themeTint="F2"/>
        </w:rPr>
        <w:t> </w:t>
      </w:r>
      <w:r w:rsidRPr="00E4782C">
        <w:rPr>
          <w:rFonts w:asciiTheme="majorBidi" w:hAnsiTheme="majorBidi" w:cstheme="majorBidi"/>
          <w:color w:val="0D0D0D" w:themeColor="text1" w:themeTint="F2"/>
        </w:rPr>
        <w:t xml:space="preserve">Hepatoprotective and antioxidant activities of </w:t>
      </w:r>
      <w:r w:rsidRPr="00E4782C">
        <w:rPr>
          <w:rFonts w:asciiTheme="majorBidi" w:hAnsiTheme="majorBidi" w:cstheme="majorBidi"/>
          <w:color w:val="0D0D0D" w:themeColor="text1" w:themeTint="F2"/>
        </w:rPr>
        <w:t>Dicranopteris</w:t>
      </w:r>
      <w:r w:rsidRPr="00E4782C">
        <w:rPr>
          <w:rFonts w:asciiTheme="majorBidi" w:hAnsiTheme="majorBidi" w:cstheme="majorBidi"/>
          <w:color w:val="0D0D0D" w:themeColor="text1" w:themeTint="F2"/>
        </w:rPr>
        <w:t xml:space="preserve"> linearis leaf extract against paracetamol-induced liver intoxication in rats. </w:t>
      </w:r>
      <w:r w:rsidRPr="00E4782C">
        <w:rPr>
          <w:rFonts w:asciiTheme="majorBidi" w:hAnsiTheme="majorBidi" w:cstheme="majorBidi"/>
          <w:i/>
          <w:iCs/>
          <w:color w:val="0D0D0D" w:themeColor="text1" w:themeTint="F2"/>
        </w:rPr>
        <w:t>Pharmaceutical Biology</w:t>
      </w:r>
      <w:r w:rsidRPr="00E4782C">
        <w:rPr>
          <w:rFonts w:asciiTheme="majorBidi" w:hAnsiTheme="majorBidi" w:cstheme="majorBidi"/>
          <w:color w:val="0D0D0D" w:themeColor="text1" w:themeTint="F2"/>
        </w:rPr>
        <w:t>, 2020, 58.1: 478-489.</w:t>
      </w:r>
      <w:r w:rsidRPr="00E4782C">
        <w:rPr>
          <w:rFonts w:asciiTheme="majorBidi" w:hAnsiTheme="majorBidi" w:cstheme="majorBidi"/>
          <w:color w:val="0D0D0D" w:themeColor="text1" w:themeTint="F2"/>
        </w:rPr>
        <w:t> DOI: </w:t>
      </w:r>
      <w:hyperlink r:id="rId11" w:history="1">
        <w:r w:rsidRPr="00E4782C">
          <w:rPr>
            <w:rStyle w:val="Hyperlink"/>
            <w:rFonts w:asciiTheme="majorBidi" w:hAnsiTheme="majorBidi" w:cstheme="majorBidi"/>
            <w:color w:val="0D0D0D" w:themeColor="text1" w:themeTint="F2"/>
            <w:u w:val="none"/>
          </w:rPr>
          <w:t>10.1080/13880209.2020.1764058</w:t>
        </w:r>
      </w:hyperlink>
    </w:p>
    <w:p w:rsidR="004F30F2" w:rsidRPr="00E4782C" w:rsidP="004F30F2" w14:paraId="588CB33D" w14:textId="7F24C01C">
      <w:pPr>
        <w:pStyle w:val="Biont71References"/>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Latif</w:t>
      </w:r>
      <w:r w:rsidRPr="00E4782C" w:rsidR="004C1C48">
        <w:rPr>
          <w:rFonts w:eastAsia="SimSun" w:asciiTheme="majorBidi" w:hAnsiTheme="majorBidi" w:cstheme="majorBidi"/>
          <w:noProof/>
          <w:color w:val="222222"/>
          <w:sz w:val="20"/>
          <w:shd w:val="clear" w:color="auto" w:fill="FFFFFF"/>
          <w:lang w:eastAsia="zh-CN" w:bidi="ar-SA"/>
        </w:rPr>
        <w:t xml:space="preserve"> </w:t>
      </w:r>
      <w:r w:rsidRPr="00E4782C" w:rsidR="004C1C48">
        <w:rPr>
          <w:rFonts w:asciiTheme="majorBidi" w:hAnsiTheme="majorBidi" w:cstheme="majorBidi"/>
          <w:color w:val="0D0D0D" w:themeColor="text1" w:themeTint="F2"/>
        </w:rPr>
        <w:t>,</w:t>
      </w:r>
      <w:r w:rsidRPr="00E4782C" w:rsidR="004C1C48">
        <w:rPr>
          <w:rFonts w:asciiTheme="majorBidi" w:hAnsiTheme="majorBidi" w:cstheme="majorBidi"/>
          <w:color w:val="0D0D0D" w:themeColor="text1" w:themeTint="F2"/>
        </w:rPr>
        <w:t xml:space="preserve"> A. A. E.; Assar, D. H.; </w:t>
      </w:r>
      <w:r w:rsidRPr="00E4782C" w:rsidR="004C1C48">
        <w:rPr>
          <w:rFonts w:asciiTheme="majorBidi" w:hAnsiTheme="majorBidi" w:cstheme="majorBidi"/>
          <w:color w:val="0D0D0D" w:themeColor="text1" w:themeTint="F2"/>
        </w:rPr>
        <w:t>Elkaw</w:t>
      </w:r>
      <w:r w:rsidRPr="00E4782C" w:rsidR="004C1C48">
        <w:rPr>
          <w:rFonts w:asciiTheme="majorBidi" w:hAnsiTheme="majorBidi" w:cstheme="majorBidi"/>
          <w:color w:val="0D0D0D" w:themeColor="text1" w:themeTint="F2"/>
        </w:rPr>
        <w:t xml:space="preserve">, E. M.; Hamza, H. A.; </w:t>
      </w:r>
      <w:r w:rsidRPr="00E4782C" w:rsidR="004C1C48">
        <w:rPr>
          <w:rFonts w:asciiTheme="majorBidi" w:hAnsiTheme="majorBidi" w:cstheme="majorBidi"/>
          <w:color w:val="0D0D0D" w:themeColor="text1" w:themeTint="F2"/>
        </w:rPr>
        <w:t>Alkhalifah</w:t>
      </w:r>
      <w:r w:rsidRPr="00E4782C" w:rsidR="004C1C48">
        <w:rPr>
          <w:rFonts w:asciiTheme="majorBidi" w:hAnsiTheme="majorBidi" w:cstheme="majorBidi"/>
          <w:color w:val="0D0D0D" w:themeColor="text1" w:themeTint="F2"/>
        </w:rPr>
        <w:t xml:space="preserve">, D. H. M.; </w:t>
      </w:r>
      <w:r w:rsidRPr="00E4782C" w:rsidR="004C1C48">
        <w:rPr>
          <w:rFonts w:asciiTheme="majorBidi" w:hAnsiTheme="majorBidi" w:cstheme="majorBidi"/>
          <w:color w:val="0D0D0D" w:themeColor="text1" w:themeTint="F2"/>
        </w:rPr>
        <w:t>Hozzein</w:t>
      </w:r>
      <w:r w:rsidRPr="00E4782C" w:rsidR="004C1C48">
        <w:rPr>
          <w:rFonts w:asciiTheme="majorBidi" w:hAnsiTheme="majorBidi" w:cstheme="majorBidi"/>
          <w:color w:val="0D0D0D" w:themeColor="text1" w:themeTint="F2"/>
        </w:rPr>
        <w:t xml:space="preserve">, W. N.; </w:t>
      </w:r>
      <w:r w:rsidRPr="00E4782C" w:rsidR="004C1C48">
        <w:rPr>
          <w:rFonts w:asciiTheme="majorBidi" w:hAnsiTheme="majorBidi" w:cstheme="majorBidi"/>
          <w:color w:val="0D0D0D" w:themeColor="text1" w:themeTint="F2"/>
        </w:rPr>
        <w:t>Hamouda</w:t>
      </w:r>
      <w:r w:rsidRPr="00E4782C" w:rsidR="004C1C48">
        <w:rPr>
          <w:rFonts w:asciiTheme="majorBidi" w:hAnsiTheme="majorBidi" w:cstheme="majorBidi"/>
          <w:color w:val="0D0D0D" w:themeColor="text1" w:themeTint="F2"/>
        </w:rPr>
        <w:t xml:space="preserve">, R. A. Protective role of Chlorella vulgaris with Thiamine against Paracetamol induced toxic effects on </w:t>
      </w:r>
      <w:r w:rsidRPr="00E4782C" w:rsidR="004C1C48">
        <w:rPr>
          <w:rFonts w:asciiTheme="majorBidi" w:hAnsiTheme="majorBidi" w:cstheme="majorBidi"/>
          <w:color w:val="0D0D0D" w:themeColor="text1" w:themeTint="F2"/>
        </w:rPr>
        <w:t>haematological</w:t>
      </w:r>
      <w:r w:rsidRPr="00E4782C" w:rsidR="004C1C48">
        <w:rPr>
          <w:rFonts w:asciiTheme="majorBidi" w:hAnsiTheme="majorBidi" w:cstheme="majorBidi"/>
          <w:color w:val="0D0D0D" w:themeColor="text1" w:themeTint="F2"/>
        </w:rPr>
        <w:t>, biochemical, oxidative stress parameters and histopathological changes in Wistar rats. </w:t>
      </w:r>
      <w:r w:rsidRPr="00E4782C" w:rsidR="004C1C48">
        <w:rPr>
          <w:rFonts w:asciiTheme="majorBidi" w:hAnsiTheme="majorBidi" w:cstheme="majorBidi"/>
          <w:i/>
          <w:iCs/>
          <w:color w:val="0D0D0D" w:themeColor="text1" w:themeTint="F2"/>
        </w:rPr>
        <w:t>Scientific Reports</w:t>
      </w:r>
      <w:r w:rsidRPr="00E4782C" w:rsidR="004C1C48">
        <w:rPr>
          <w:rFonts w:asciiTheme="majorBidi" w:hAnsiTheme="majorBidi" w:cstheme="majorBidi"/>
          <w:color w:val="0D0D0D" w:themeColor="text1" w:themeTint="F2"/>
        </w:rPr>
        <w:t xml:space="preserve">, </w:t>
      </w:r>
      <w:r w:rsidRPr="00E4782C" w:rsidR="004C1C48">
        <w:rPr>
          <w:rFonts w:asciiTheme="majorBidi" w:hAnsiTheme="majorBidi" w:cstheme="majorBidi"/>
          <w:b/>
          <w:bCs/>
          <w:color w:val="0D0D0D" w:themeColor="text1" w:themeTint="F2"/>
        </w:rPr>
        <w:t>2021</w:t>
      </w:r>
      <w:r w:rsidRPr="00E4782C" w:rsidR="004C1C48">
        <w:rPr>
          <w:rFonts w:asciiTheme="majorBidi" w:hAnsiTheme="majorBidi" w:cstheme="majorBidi"/>
          <w:color w:val="0D0D0D" w:themeColor="text1" w:themeTint="F2"/>
        </w:rPr>
        <w:t xml:space="preserve">, 11.1: 1-16. </w:t>
      </w:r>
      <w:r w:rsidRPr="00E4782C">
        <w:rPr>
          <w:rFonts w:asciiTheme="majorBidi" w:hAnsiTheme="majorBidi" w:cstheme="majorBidi"/>
          <w:color w:val="0D0D0D" w:themeColor="text1" w:themeTint="F2"/>
        </w:rPr>
        <w:t>https://doi.org/10.1038/s41598-021-83316-8</w:t>
      </w:r>
    </w:p>
    <w:p w:rsidR="008244B1" w:rsidRPr="00E4782C" w:rsidP="004F30F2" w14:paraId="751C9534" w14:textId="5CECA230">
      <w:pPr>
        <w:pStyle w:val="Biont71References"/>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Sarhata</w:t>
      </w:r>
      <w:r w:rsidRPr="00E4782C">
        <w:rPr>
          <w:rFonts w:asciiTheme="majorBidi" w:hAnsiTheme="majorBidi" w:cstheme="majorBidi"/>
          <w:color w:val="0D0D0D" w:themeColor="text1" w:themeTint="F2"/>
        </w:rPr>
        <w:t xml:space="preserve">, E. R.; Al </w:t>
      </w:r>
      <w:r w:rsidRPr="00E4782C">
        <w:rPr>
          <w:rFonts w:asciiTheme="majorBidi" w:hAnsiTheme="majorBidi" w:cstheme="majorBidi"/>
          <w:color w:val="0D0D0D" w:themeColor="text1" w:themeTint="F2"/>
        </w:rPr>
        <w:t>Anzyb</w:t>
      </w:r>
      <w:r w:rsidRPr="00E4782C">
        <w:rPr>
          <w:rFonts w:asciiTheme="majorBidi" w:hAnsiTheme="majorBidi" w:cstheme="majorBidi"/>
          <w:color w:val="0D0D0D" w:themeColor="text1" w:themeTint="F2"/>
        </w:rPr>
        <w:t xml:space="preserve">, M. M.; </w:t>
      </w:r>
      <w:r w:rsidRPr="00E4782C">
        <w:rPr>
          <w:rFonts w:asciiTheme="majorBidi" w:hAnsiTheme="majorBidi" w:cstheme="majorBidi"/>
          <w:color w:val="0D0D0D" w:themeColor="text1" w:themeTint="F2"/>
        </w:rPr>
        <w:t>Ahmedb</w:t>
      </w:r>
      <w:r w:rsidRPr="00E4782C">
        <w:rPr>
          <w:rFonts w:asciiTheme="majorBidi" w:hAnsiTheme="majorBidi" w:cstheme="majorBidi"/>
          <w:color w:val="0D0D0D" w:themeColor="text1" w:themeTint="F2"/>
        </w:rPr>
        <w:t>, T. S</w:t>
      </w:r>
      <w:r w:rsidRPr="00E4782C">
        <w:rPr>
          <w:rFonts w:asciiTheme="majorBidi" w:hAnsiTheme="majorBidi" w:cstheme="majorBidi"/>
          <w:color w:val="0D0D0D" w:themeColor="text1" w:themeTint="F2"/>
        </w:rPr>
        <w:t xml:space="preserve">. Study of oxidant-antioxidant status in cerebrospinal fluid of children with meningitis. </w:t>
      </w:r>
      <w:r w:rsidRPr="00E4782C">
        <w:rPr>
          <w:rFonts w:asciiTheme="majorBidi" w:hAnsiTheme="majorBidi" w:cstheme="majorBidi"/>
          <w:i/>
          <w:iCs/>
          <w:color w:val="0D0D0D" w:themeColor="text1" w:themeTint="F2"/>
        </w:rPr>
        <w:t>Eurasian Chemical Communications</w:t>
      </w:r>
      <w:r w:rsidRPr="00E4782C">
        <w:rPr>
          <w:rFonts w:asciiTheme="majorBidi" w:hAnsiTheme="majorBidi" w:cstheme="majorBidi"/>
          <w:color w:val="0D0D0D" w:themeColor="text1" w:themeTint="F2"/>
        </w:rPr>
        <w:t xml:space="preserve">, </w:t>
      </w:r>
      <w:r w:rsidRPr="00E4782C">
        <w:rPr>
          <w:rFonts w:asciiTheme="majorBidi" w:hAnsiTheme="majorBidi" w:cstheme="majorBidi"/>
          <w:b/>
          <w:bCs/>
          <w:color w:val="0D0D0D" w:themeColor="text1" w:themeTint="F2"/>
        </w:rPr>
        <w:t>2022</w:t>
      </w:r>
      <w:r w:rsidRPr="00E4782C">
        <w:rPr>
          <w:rFonts w:asciiTheme="majorBidi" w:hAnsiTheme="majorBidi" w:cstheme="majorBidi"/>
          <w:color w:val="0D0D0D" w:themeColor="text1" w:themeTint="F2"/>
        </w:rPr>
        <w:t>, 4</w:t>
      </w:r>
      <w:r w:rsidRPr="00E4782C">
        <w:rPr>
          <w:rFonts w:asciiTheme="majorBidi" w:hAnsiTheme="majorBidi" w:cstheme="majorBidi"/>
          <w:color w:val="0D0D0D" w:themeColor="text1" w:themeTint="F2"/>
        </w:rPr>
        <w:t>.</w:t>
      </w:r>
      <w:r w:rsidRPr="00E4782C">
        <w:rPr>
          <w:rFonts w:asciiTheme="majorBidi" w:hAnsiTheme="majorBidi" w:cstheme="majorBidi"/>
          <w:color w:val="0D0D0D" w:themeColor="text1" w:themeTint="F2"/>
        </w:rPr>
        <w:t>9</w:t>
      </w:r>
      <w:r w:rsidRPr="00E4782C">
        <w:rPr>
          <w:rFonts w:asciiTheme="majorBidi" w:hAnsiTheme="majorBidi" w:cstheme="majorBidi"/>
          <w:color w:val="0D0D0D" w:themeColor="text1" w:themeTint="F2"/>
        </w:rPr>
        <w:t>:</w:t>
      </w:r>
      <w:r w:rsidRPr="00E4782C">
        <w:rPr>
          <w:rFonts w:asciiTheme="majorBidi" w:hAnsiTheme="majorBidi" w:cstheme="majorBidi"/>
          <w:color w:val="0D0D0D" w:themeColor="text1" w:themeTint="F2"/>
        </w:rPr>
        <w:t xml:space="preserve"> 863-869. Link: http://www.echemcom.com/article_148799. html</w:t>
      </w:r>
    </w:p>
    <w:p w:rsidR="008244B1" w:rsidRPr="00E4782C" w:rsidP="004F30F2" w14:paraId="6494E280" w14:textId="552B0854">
      <w:pPr>
        <w:pStyle w:val="Biont71References"/>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Sarhat</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E</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R.</w:t>
      </w:r>
      <w:r w:rsidRPr="00E4782C">
        <w:rPr>
          <w:rFonts w:asciiTheme="majorBidi" w:hAnsiTheme="majorBidi" w:cstheme="majorBidi"/>
          <w:color w:val="0D0D0D" w:themeColor="text1" w:themeTint="F2"/>
        </w:rPr>
        <w:t>;</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 xml:space="preserve">Wadi, </w:t>
      </w:r>
      <w:r w:rsidRPr="00E4782C">
        <w:rPr>
          <w:rFonts w:asciiTheme="majorBidi" w:hAnsiTheme="majorBidi" w:cstheme="majorBidi"/>
          <w:color w:val="0D0D0D" w:themeColor="text1" w:themeTint="F2"/>
        </w:rPr>
        <w:t>S</w:t>
      </w:r>
      <w:r w:rsidRPr="00E4782C">
        <w:rPr>
          <w:rFonts w:asciiTheme="majorBidi" w:hAnsiTheme="majorBidi" w:cstheme="majorBidi"/>
          <w:color w:val="0D0D0D" w:themeColor="text1" w:themeTint="F2"/>
        </w:rPr>
        <w:t>.</w:t>
      </w:r>
      <w:r w:rsidRPr="00E4782C">
        <w:rPr>
          <w:rFonts w:asciiTheme="majorBidi" w:hAnsiTheme="majorBidi" w:cstheme="majorBidi"/>
          <w:color w:val="0D0D0D" w:themeColor="text1" w:themeTint="F2"/>
        </w:rPr>
        <w:t xml:space="preserve"> A.</w:t>
      </w:r>
      <w:r w:rsidRPr="00E4782C">
        <w:rPr>
          <w:rFonts w:asciiTheme="majorBidi" w:hAnsiTheme="majorBidi" w:cstheme="majorBidi"/>
          <w:color w:val="0D0D0D" w:themeColor="text1" w:themeTint="F2"/>
        </w:rPr>
        <w:t>;</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 xml:space="preserve">Ahmed, </w:t>
      </w:r>
      <w:r w:rsidRPr="00E4782C">
        <w:rPr>
          <w:rFonts w:asciiTheme="majorBidi" w:hAnsiTheme="majorBidi" w:cstheme="majorBidi"/>
          <w:color w:val="0D0D0D" w:themeColor="text1" w:themeTint="F2"/>
        </w:rPr>
        <w:t>M</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S.</w:t>
      </w:r>
      <w:r w:rsidRPr="00E4782C">
        <w:rPr>
          <w:rFonts w:asciiTheme="majorBidi" w:hAnsiTheme="majorBidi" w:cstheme="majorBidi"/>
          <w:color w:val="0D0D0D" w:themeColor="text1" w:themeTint="F2"/>
        </w:rPr>
        <w:t>;</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 xml:space="preserve">Mustafa, </w:t>
      </w:r>
      <w:r w:rsidRPr="00E4782C">
        <w:rPr>
          <w:rFonts w:asciiTheme="majorBidi" w:hAnsiTheme="majorBidi" w:cstheme="majorBidi"/>
          <w:color w:val="0D0D0D" w:themeColor="text1" w:themeTint="F2"/>
        </w:rPr>
        <w:t>S</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N.</w:t>
      </w:r>
      <w:r w:rsidRPr="00E4782C">
        <w:rPr>
          <w:rFonts w:asciiTheme="majorBidi" w:hAnsiTheme="majorBidi" w:cstheme="majorBidi"/>
          <w:color w:val="0D0D0D" w:themeColor="text1" w:themeTint="F2"/>
        </w:rPr>
        <w:t>;</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Sarhat</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T</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R. Evaluation of Serum Malondialdehyde, Glutathione peroxidase, Superoxide dismutase, and Catalase levels in Hormona</w:t>
      </w:r>
      <w:r w:rsidRPr="00E4782C">
        <w:rPr>
          <w:rFonts w:asciiTheme="majorBidi" w:hAnsiTheme="majorBidi" w:cstheme="majorBidi"/>
          <w:color w:val="0D0D0D" w:themeColor="text1" w:themeTint="F2"/>
        </w:rPr>
        <w:t>l Contraceptives in Tikrit City</w:t>
      </w:r>
      <w:r w:rsidRPr="00E4782C">
        <w:rPr>
          <w:rFonts w:asciiTheme="majorBidi" w:hAnsiTheme="majorBidi" w:cstheme="majorBidi"/>
          <w:color w:val="0D0D0D" w:themeColor="text1" w:themeTint="F2"/>
        </w:rPr>
        <w:t xml:space="preserve">. </w:t>
      </w:r>
      <w:r w:rsidRPr="00E4782C">
        <w:rPr>
          <w:rFonts w:asciiTheme="majorBidi" w:hAnsiTheme="majorBidi" w:cstheme="majorBidi"/>
          <w:i/>
          <w:iCs/>
          <w:color w:val="0D0D0D" w:themeColor="text1" w:themeTint="F2"/>
        </w:rPr>
        <w:t>Tikrit Medical Journal</w:t>
      </w:r>
      <w:r w:rsidRPr="00E4782C">
        <w:rPr>
          <w:rFonts w:asciiTheme="majorBidi" w:hAnsiTheme="majorBidi" w:cstheme="majorBidi"/>
          <w:color w:val="0D0D0D" w:themeColor="text1" w:themeTint="F2"/>
        </w:rPr>
        <w:t xml:space="preserve">, </w:t>
      </w:r>
      <w:r w:rsidRPr="00E4782C">
        <w:rPr>
          <w:rFonts w:asciiTheme="majorBidi" w:hAnsiTheme="majorBidi" w:cstheme="majorBidi"/>
          <w:b/>
          <w:bCs/>
          <w:color w:val="0D0D0D" w:themeColor="text1" w:themeTint="F2"/>
        </w:rPr>
        <w:t>2018</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24</w:t>
      </w:r>
      <w:r w:rsidRPr="00E4782C">
        <w:rPr>
          <w:rFonts w:asciiTheme="majorBidi" w:hAnsiTheme="majorBidi" w:cstheme="majorBidi"/>
          <w:color w:val="0D0D0D" w:themeColor="text1" w:themeTint="F2"/>
        </w:rPr>
        <w:t>.</w:t>
      </w:r>
      <w:r w:rsidRPr="00E4782C">
        <w:rPr>
          <w:rFonts w:asciiTheme="majorBidi" w:hAnsiTheme="majorBidi" w:cstheme="majorBidi"/>
          <w:color w:val="0D0D0D" w:themeColor="text1" w:themeTint="F2"/>
        </w:rPr>
        <w:t>1:10-20.</w:t>
      </w:r>
    </w:p>
    <w:p w:rsidR="008244B1" w:rsidRPr="00E4782C" w:rsidP="004F30F2" w14:paraId="3EC23705" w14:textId="0CED71CA">
      <w:pPr>
        <w:pStyle w:val="Biont71References"/>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Sarhat</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E</w:t>
      </w:r>
      <w:r w:rsidRPr="00E4782C">
        <w:rPr>
          <w:rFonts w:asciiTheme="majorBidi" w:hAnsiTheme="majorBidi" w:cstheme="majorBidi"/>
          <w:color w:val="0D0D0D" w:themeColor="text1" w:themeTint="F2"/>
        </w:rPr>
        <w:t>.</w:t>
      </w:r>
      <w:r w:rsidRPr="00E4782C">
        <w:rPr>
          <w:rFonts w:asciiTheme="majorBidi" w:hAnsiTheme="majorBidi" w:cstheme="majorBidi"/>
          <w:color w:val="0D0D0D" w:themeColor="text1" w:themeTint="F2"/>
        </w:rPr>
        <w:t xml:space="preserve"> R</w:t>
      </w:r>
      <w:r w:rsidRPr="00E4782C">
        <w:rPr>
          <w:rFonts w:asciiTheme="majorBidi" w:hAnsiTheme="majorBidi" w:cstheme="majorBidi"/>
          <w:color w:val="0D0D0D" w:themeColor="text1" w:themeTint="F2"/>
        </w:rPr>
        <w:t>.;</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Zbaar</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S</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A</w:t>
      </w:r>
      <w:r w:rsidRPr="00E4782C">
        <w:rPr>
          <w:rFonts w:asciiTheme="majorBidi" w:hAnsiTheme="majorBidi" w:cstheme="majorBidi"/>
          <w:color w:val="0D0D0D" w:themeColor="text1" w:themeTint="F2"/>
        </w:rPr>
        <w:t>.;</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 xml:space="preserve">Ahmed, </w:t>
      </w:r>
      <w:r w:rsidRPr="00E4782C">
        <w:rPr>
          <w:rFonts w:asciiTheme="majorBidi" w:hAnsiTheme="majorBidi" w:cstheme="majorBidi"/>
          <w:color w:val="0D0D0D" w:themeColor="text1" w:themeTint="F2"/>
        </w:rPr>
        <w:t>S</w:t>
      </w:r>
      <w:r w:rsidRPr="00E4782C">
        <w:rPr>
          <w:rFonts w:asciiTheme="majorBidi" w:hAnsiTheme="majorBidi" w:cstheme="majorBidi"/>
          <w:color w:val="0D0D0D" w:themeColor="text1" w:themeTint="F2"/>
        </w:rPr>
        <w:t>.</w:t>
      </w:r>
      <w:r w:rsidRPr="00E4782C">
        <w:rPr>
          <w:rFonts w:asciiTheme="majorBidi" w:hAnsiTheme="majorBidi" w:cstheme="majorBidi"/>
          <w:color w:val="0D0D0D" w:themeColor="text1" w:themeTint="F2"/>
        </w:rPr>
        <w:t xml:space="preserve"> E</w:t>
      </w:r>
      <w:r w:rsidRPr="00E4782C">
        <w:rPr>
          <w:rFonts w:asciiTheme="majorBidi" w:hAnsiTheme="majorBidi" w:cstheme="majorBidi"/>
          <w:color w:val="0D0D0D" w:themeColor="text1" w:themeTint="F2"/>
        </w:rPr>
        <w:t>.;</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 xml:space="preserve">Ahmed, </w:t>
      </w:r>
      <w:r w:rsidRPr="00E4782C">
        <w:rPr>
          <w:rFonts w:asciiTheme="majorBidi" w:hAnsiTheme="majorBidi" w:cstheme="majorBidi"/>
          <w:color w:val="0D0D0D" w:themeColor="text1" w:themeTint="F2"/>
        </w:rPr>
        <w:t>T</w:t>
      </w:r>
      <w:r w:rsidRPr="00E4782C">
        <w:rPr>
          <w:rFonts w:asciiTheme="majorBidi" w:hAnsiTheme="majorBidi" w:cstheme="majorBidi"/>
          <w:color w:val="0D0D0D" w:themeColor="text1" w:themeTint="F2"/>
        </w:rPr>
        <w:t>.</w:t>
      </w:r>
      <w:r w:rsidRPr="00E4782C">
        <w:rPr>
          <w:rFonts w:asciiTheme="majorBidi" w:hAnsiTheme="majorBidi" w:cstheme="majorBidi"/>
          <w:color w:val="0D0D0D" w:themeColor="text1" w:themeTint="F2"/>
        </w:rPr>
        <w:t xml:space="preserve"> S</w:t>
      </w:r>
      <w:r w:rsidRPr="00E4782C">
        <w:rPr>
          <w:rFonts w:asciiTheme="majorBidi" w:hAnsiTheme="majorBidi" w:cstheme="majorBidi"/>
          <w:color w:val="0D0D0D" w:themeColor="text1" w:themeTint="F2"/>
        </w:rPr>
        <w:t>.;</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Sarhat</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T</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R</w:t>
      </w:r>
      <w:r w:rsidRPr="00E4782C">
        <w:rPr>
          <w:rFonts w:asciiTheme="majorBidi" w:hAnsiTheme="majorBidi" w:cstheme="majorBidi"/>
          <w:color w:val="0D0D0D" w:themeColor="text1" w:themeTint="F2"/>
        </w:rPr>
        <w:t>.</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 xml:space="preserve">Salivary biochemical variables of Liver Function in among Individuals with COVID-19 in </w:t>
      </w:r>
      <w:r w:rsidRPr="00E4782C">
        <w:rPr>
          <w:rFonts w:asciiTheme="majorBidi" w:hAnsiTheme="majorBidi" w:cstheme="majorBidi"/>
          <w:color w:val="0D0D0D" w:themeColor="text1" w:themeTint="F2"/>
        </w:rPr>
        <w:t>Thi-Qar</w:t>
      </w:r>
      <w:r w:rsidRPr="00E4782C">
        <w:rPr>
          <w:rFonts w:asciiTheme="majorBidi" w:hAnsiTheme="majorBidi" w:cstheme="majorBidi"/>
          <w:color w:val="0D0D0D" w:themeColor="text1" w:themeTint="F2"/>
        </w:rPr>
        <w:t xml:space="preserve"> Province. </w:t>
      </w:r>
      <w:r w:rsidRPr="00E4782C">
        <w:rPr>
          <w:rFonts w:asciiTheme="majorBidi" w:hAnsiTheme="majorBidi" w:cstheme="majorBidi"/>
          <w:i/>
          <w:iCs/>
          <w:color w:val="0D0D0D" w:themeColor="text1" w:themeTint="F2"/>
        </w:rPr>
        <w:t>Egyptian Journal of Chemistry</w:t>
      </w:r>
      <w:r w:rsidRPr="00E4782C">
        <w:rPr>
          <w:rFonts w:asciiTheme="majorBidi" w:hAnsiTheme="majorBidi" w:cstheme="majorBidi"/>
          <w:color w:val="0D0D0D" w:themeColor="text1" w:themeTint="F2"/>
        </w:rPr>
        <w:t xml:space="preserve">, </w:t>
      </w:r>
      <w:r w:rsidRPr="00E4782C">
        <w:rPr>
          <w:rFonts w:asciiTheme="majorBidi" w:hAnsiTheme="majorBidi" w:cstheme="majorBidi"/>
          <w:b/>
          <w:bCs/>
          <w:color w:val="0D0D0D" w:themeColor="text1" w:themeTint="F2"/>
        </w:rPr>
        <w:t>2022</w:t>
      </w:r>
      <w:r w:rsidRPr="00E4782C">
        <w:rPr>
          <w:rFonts w:asciiTheme="majorBidi" w:hAnsiTheme="majorBidi" w:cstheme="majorBidi"/>
          <w:color w:val="0D0D0D" w:themeColor="text1" w:themeTint="F2"/>
        </w:rPr>
        <w:t>, 65.6: 1-2</w:t>
      </w:r>
      <w:r w:rsidRPr="00E4782C" w:rsidR="00690989">
        <w:rPr>
          <w:rFonts w:asciiTheme="majorBidi" w:hAnsiTheme="majorBidi" w:cstheme="majorBidi"/>
          <w:color w:val="0D0D0D" w:themeColor="text1" w:themeTint="F2"/>
        </w:rPr>
        <w:t>.</w:t>
      </w:r>
    </w:p>
    <w:p w:rsidR="008244B1" w:rsidRPr="00E4782C" w:rsidP="003D3350" w14:paraId="3BC59195" w14:textId="7403AFEB">
      <w:pPr>
        <w:pStyle w:val="Biont71References"/>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M</w:t>
      </w:r>
      <w:r w:rsidRPr="00E4782C" w:rsidR="003D3350">
        <w:rPr>
          <w:rFonts w:asciiTheme="majorBidi" w:hAnsiTheme="majorBidi" w:cstheme="majorBidi"/>
          <w:color w:val="0D0D0D" w:themeColor="text1" w:themeTint="F2"/>
        </w:rPr>
        <w:t xml:space="preserve">ohammed, I. J.; </w:t>
      </w:r>
      <w:r w:rsidRPr="00E4782C" w:rsidR="003D3350">
        <w:rPr>
          <w:rFonts w:asciiTheme="majorBidi" w:hAnsiTheme="majorBidi" w:cstheme="majorBidi"/>
          <w:color w:val="0D0D0D" w:themeColor="text1" w:themeTint="F2"/>
        </w:rPr>
        <w:t>Sarhat</w:t>
      </w:r>
      <w:r w:rsidRPr="00E4782C" w:rsidR="003D3350">
        <w:rPr>
          <w:rFonts w:asciiTheme="majorBidi" w:hAnsiTheme="majorBidi" w:cstheme="majorBidi"/>
          <w:color w:val="0D0D0D" w:themeColor="text1" w:themeTint="F2"/>
        </w:rPr>
        <w:t xml:space="preserve">, E. R.; </w:t>
      </w:r>
      <w:r w:rsidRPr="00E4782C" w:rsidR="003D3350">
        <w:rPr>
          <w:rFonts w:asciiTheme="majorBidi" w:hAnsiTheme="majorBidi" w:cstheme="majorBidi"/>
          <w:color w:val="0D0D0D" w:themeColor="text1" w:themeTint="F2"/>
        </w:rPr>
        <w:t>Wadee</w:t>
      </w:r>
      <w:r w:rsidRPr="00E4782C" w:rsidR="003D3350">
        <w:rPr>
          <w:rFonts w:asciiTheme="majorBidi" w:hAnsiTheme="majorBidi" w:cstheme="majorBidi"/>
          <w:color w:val="0D0D0D" w:themeColor="text1" w:themeTint="F2"/>
        </w:rPr>
        <w:t>, S. A.; Al-</w:t>
      </w:r>
      <w:r w:rsidRPr="00E4782C" w:rsidR="003D3350">
        <w:rPr>
          <w:rFonts w:asciiTheme="majorBidi" w:hAnsiTheme="majorBidi" w:cstheme="majorBidi"/>
          <w:color w:val="0D0D0D" w:themeColor="text1" w:themeTint="F2"/>
        </w:rPr>
        <w:t>Shiakhani</w:t>
      </w:r>
      <w:r w:rsidRPr="00E4782C" w:rsidR="003D3350">
        <w:rPr>
          <w:rFonts w:asciiTheme="majorBidi" w:hAnsiTheme="majorBidi" w:cstheme="majorBidi"/>
          <w:color w:val="0D0D0D" w:themeColor="text1" w:themeTint="F2"/>
        </w:rPr>
        <w:t xml:space="preserve">, S. M. </w:t>
      </w:r>
      <w:r w:rsidRPr="00E4782C">
        <w:rPr>
          <w:rFonts w:asciiTheme="majorBidi" w:hAnsiTheme="majorBidi" w:cstheme="majorBidi"/>
          <w:color w:val="0D0D0D" w:themeColor="text1" w:themeTint="F2"/>
        </w:rPr>
        <w:t>Shiakhani</w:t>
      </w:r>
      <w:r w:rsidRPr="00E4782C">
        <w:rPr>
          <w:rFonts w:asciiTheme="majorBidi" w:hAnsiTheme="majorBidi" w:cstheme="majorBidi"/>
          <w:color w:val="0D0D0D" w:themeColor="text1" w:themeTint="F2"/>
        </w:rPr>
        <w:t xml:space="preserve"> </w:t>
      </w:r>
      <w:r w:rsidRPr="00E4782C" w:rsidR="003D3350">
        <w:rPr>
          <w:rFonts w:asciiTheme="majorBidi" w:hAnsiTheme="majorBidi" w:cstheme="majorBidi"/>
          <w:color w:val="0D0D0D" w:themeColor="text1" w:themeTint="F2"/>
        </w:rPr>
        <w:t>Histological and biochemical evaluation of the effect of desloratadine drug in parotid gland tissues. </w:t>
      </w:r>
      <w:r w:rsidRPr="00E4782C" w:rsidR="003D3350">
        <w:rPr>
          <w:rFonts w:asciiTheme="majorBidi" w:hAnsiTheme="majorBidi" w:cstheme="majorBidi"/>
          <w:i/>
          <w:iCs/>
          <w:color w:val="0D0D0D" w:themeColor="text1" w:themeTint="F2"/>
        </w:rPr>
        <w:t>Al-Anbar Medical Journal</w:t>
      </w:r>
      <w:r w:rsidRPr="00E4782C" w:rsidR="003D3350">
        <w:rPr>
          <w:rFonts w:asciiTheme="majorBidi" w:hAnsiTheme="majorBidi" w:cstheme="majorBidi"/>
          <w:color w:val="0D0D0D" w:themeColor="text1" w:themeTint="F2"/>
        </w:rPr>
        <w:t xml:space="preserve">, </w:t>
      </w:r>
      <w:r w:rsidRPr="00E4782C" w:rsidR="003D3350">
        <w:rPr>
          <w:rFonts w:asciiTheme="majorBidi" w:hAnsiTheme="majorBidi" w:cstheme="majorBidi"/>
          <w:b/>
          <w:bCs/>
          <w:color w:val="0D0D0D" w:themeColor="text1" w:themeTint="F2"/>
        </w:rPr>
        <w:t>2021</w:t>
      </w:r>
      <w:r w:rsidRPr="00E4782C" w:rsidR="003D3350">
        <w:rPr>
          <w:rFonts w:asciiTheme="majorBidi" w:hAnsiTheme="majorBidi" w:cstheme="majorBidi"/>
          <w:color w:val="0D0D0D" w:themeColor="text1" w:themeTint="F2"/>
        </w:rPr>
        <w:t>, 17.2:72−77.</w:t>
      </w:r>
      <w:r w:rsidRPr="00E4782C">
        <w:rPr>
          <w:rFonts w:asciiTheme="majorBidi" w:hAnsiTheme="majorBidi" w:cstheme="majorBidi"/>
          <w:color w:val="0D0D0D" w:themeColor="text1" w:themeTint="F2"/>
        </w:rPr>
        <w:t xml:space="preserve"> </w:t>
      </w:r>
    </w:p>
    <w:p w:rsidR="008244B1" w:rsidRPr="00E4782C" w:rsidP="00875C37" w14:paraId="256EE802" w14:textId="62BDFED1">
      <w:pPr>
        <w:pStyle w:val="Biont71References"/>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Sarhat</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E</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R.</w:t>
      </w:r>
      <w:r w:rsidRPr="00E4782C">
        <w:rPr>
          <w:rFonts w:asciiTheme="majorBidi" w:hAnsiTheme="majorBidi" w:cstheme="majorBidi"/>
          <w:color w:val="0D0D0D" w:themeColor="text1" w:themeTint="F2"/>
        </w:rPr>
        <w:t xml:space="preserve">; Mohammed, </w:t>
      </w:r>
      <w:r w:rsidRPr="00E4782C">
        <w:rPr>
          <w:rFonts w:asciiTheme="majorBidi" w:hAnsiTheme="majorBidi" w:cstheme="majorBidi"/>
          <w:color w:val="0D0D0D" w:themeColor="text1" w:themeTint="F2"/>
        </w:rPr>
        <w:t>I</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J.</w:t>
      </w:r>
      <w:r w:rsidRPr="00E4782C">
        <w:rPr>
          <w:rFonts w:asciiTheme="majorBidi" w:hAnsiTheme="majorBidi" w:cstheme="majorBidi"/>
          <w:color w:val="0D0D0D" w:themeColor="text1" w:themeTint="F2"/>
        </w:rPr>
        <w:t>;</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 xml:space="preserve">Mohammed, </w:t>
      </w:r>
      <w:r w:rsidRPr="00E4782C">
        <w:rPr>
          <w:rFonts w:asciiTheme="majorBidi" w:hAnsiTheme="majorBidi" w:cstheme="majorBidi"/>
          <w:color w:val="0D0D0D" w:themeColor="text1" w:themeTint="F2"/>
        </w:rPr>
        <w:t>N</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Y.</w:t>
      </w:r>
      <w:r w:rsidRPr="00E4782C">
        <w:rPr>
          <w:rFonts w:asciiTheme="majorBidi" w:hAnsiTheme="majorBidi" w:cstheme="majorBidi"/>
          <w:color w:val="0D0D0D" w:themeColor="text1" w:themeTint="F2"/>
        </w:rPr>
        <w:t>;</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Khairy</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B</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S.</w:t>
      </w:r>
      <w:r w:rsidRPr="00E4782C">
        <w:rPr>
          <w:rFonts w:asciiTheme="majorBidi" w:hAnsiTheme="majorBidi" w:cstheme="majorBidi"/>
          <w:color w:val="0D0D0D" w:themeColor="text1" w:themeTint="F2"/>
        </w:rPr>
        <w:t xml:space="preserve">; Hassan, </w:t>
      </w:r>
      <w:r w:rsidRPr="00E4782C">
        <w:rPr>
          <w:rFonts w:asciiTheme="majorBidi" w:hAnsiTheme="majorBidi" w:cstheme="majorBidi"/>
          <w:color w:val="0D0D0D" w:themeColor="text1" w:themeTint="F2"/>
        </w:rPr>
        <w:t>F</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F.</w:t>
      </w:r>
      <w:r w:rsidRPr="00E4782C">
        <w:rPr>
          <w:rFonts w:asciiTheme="majorBidi" w:hAnsiTheme="majorBidi" w:cstheme="majorBidi"/>
          <w:color w:val="0D0D0D" w:themeColor="text1" w:themeTint="F2"/>
          <w:rtl/>
          <w:lang w:bidi="ar-IQ"/>
        </w:rPr>
        <w:t xml:space="preserve"> </w:t>
      </w:r>
      <w:r w:rsidRPr="00E4782C">
        <w:rPr>
          <w:rFonts w:asciiTheme="majorBidi" w:hAnsiTheme="majorBidi" w:cstheme="majorBidi"/>
          <w:color w:val="0D0D0D" w:themeColor="text1" w:themeTint="F2"/>
        </w:rPr>
        <w:t xml:space="preserve">Evaluation of Salivary Oxidative Stress Marker (Lipid Peroxidation), and Non-Enzymatic Antioxidants (Vitamin C and Vitamin E) in Patients with Acute Myocardial Infarction. </w:t>
      </w:r>
      <w:r w:rsidRPr="00E4782C">
        <w:rPr>
          <w:rFonts w:asciiTheme="majorBidi" w:hAnsiTheme="majorBidi" w:cstheme="majorBidi"/>
          <w:i/>
          <w:iCs/>
          <w:color w:val="0D0D0D" w:themeColor="text1" w:themeTint="F2"/>
        </w:rPr>
        <w:t>Tikrit Journal for Dental Sciences</w:t>
      </w:r>
      <w:r w:rsidRPr="00E4782C">
        <w:rPr>
          <w:rFonts w:asciiTheme="majorBidi" w:hAnsiTheme="majorBidi" w:cstheme="majorBidi"/>
          <w:color w:val="0D0D0D" w:themeColor="text1" w:themeTint="F2"/>
          <w:lang w:val="en-GB" w:bidi="ar-IQ"/>
        </w:rPr>
        <w:t xml:space="preserve">, </w:t>
      </w:r>
      <w:r w:rsidRPr="00E4782C">
        <w:rPr>
          <w:rFonts w:asciiTheme="majorBidi" w:hAnsiTheme="majorBidi" w:cstheme="majorBidi"/>
          <w:b/>
          <w:bCs/>
          <w:color w:val="0D0D0D" w:themeColor="text1" w:themeTint="F2"/>
        </w:rPr>
        <w:t>2019</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7</w:t>
      </w:r>
      <w:r w:rsidRPr="00E4782C">
        <w:rPr>
          <w:rFonts w:asciiTheme="majorBidi" w:hAnsiTheme="majorBidi" w:cstheme="majorBidi"/>
          <w:color w:val="0D0D0D" w:themeColor="text1" w:themeTint="F2"/>
        </w:rPr>
        <w:t>.</w:t>
      </w:r>
      <w:r w:rsidRPr="00E4782C">
        <w:rPr>
          <w:rFonts w:asciiTheme="majorBidi" w:hAnsiTheme="majorBidi" w:cstheme="majorBidi"/>
          <w:color w:val="0D0D0D" w:themeColor="text1" w:themeTint="F2"/>
        </w:rPr>
        <w:t>1</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20-26</w:t>
      </w:r>
      <w:r w:rsidRPr="00E4782C">
        <w:rPr>
          <w:rFonts w:asciiTheme="majorBidi" w:hAnsiTheme="majorBidi" w:cstheme="majorBidi"/>
          <w:color w:val="0D0D0D" w:themeColor="text1" w:themeTint="F2"/>
        </w:rPr>
        <w:t>.</w:t>
      </w:r>
    </w:p>
    <w:p w:rsidR="008244B1" w:rsidRPr="00E4782C" w:rsidP="00875C37" w14:paraId="2AC75744" w14:textId="051EA7E2">
      <w:pPr>
        <w:pStyle w:val="Biont71References"/>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Sreevallabhan</w:t>
      </w:r>
      <w:r w:rsidRPr="00E4782C">
        <w:rPr>
          <w:rFonts w:asciiTheme="majorBidi" w:hAnsiTheme="majorBidi" w:cstheme="majorBidi"/>
          <w:color w:val="0D0D0D" w:themeColor="text1" w:themeTint="F2"/>
        </w:rPr>
        <w:t xml:space="preserve">, S.; </w:t>
      </w:r>
      <w:r w:rsidRPr="00E4782C">
        <w:rPr>
          <w:rFonts w:asciiTheme="majorBidi" w:hAnsiTheme="majorBidi" w:cstheme="majorBidi"/>
          <w:color w:val="0D0D0D" w:themeColor="text1" w:themeTint="F2"/>
        </w:rPr>
        <w:t>Mohanan</w:t>
      </w:r>
      <w:r w:rsidRPr="00E4782C">
        <w:rPr>
          <w:rFonts w:asciiTheme="majorBidi" w:hAnsiTheme="majorBidi" w:cstheme="majorBidi"/>
          <w:color w:val="0D0D0D" w:themeColor="text1" w:themeTint="F2"/>
        </w:rPr>
        <w:t xml:space="preserve">, R.; Jose, S. P.; Sukumaran, S.; </w:t>
      </w:r>
      <w:r w:rsidRPr="00E4782C">
        <w:rPr>
          <w:rFonts w:asciiTheme="majorBidi" w:hAnsiTheme="majorBidi" w:cstheme="majorBidi"/>
          <w:color w:val="0D0D0D" w:themeColor="text1" w:themeTint="F2"/>
        </w:rPr>
        <w:t>Jagmag</w:t>
      </w:r>
      <w:r w:rsidRPr="00E4782C">
        <w:rPr>
          <w:rFonts w:asciiTheme="majorBidi" w:hAnsiTheme="majorBidi" w:cstheme="majorBidi"/>
          <w:color w:val="0D0D0D" w:themeColor="text1" w:themeTint="F2"/>
        </w:rPr>
        <w:t xml:space="preserve">, T.; </w:t>
      </w:r>
      <w:r w:rsidRPr="00E4782C">
        <w:rPr>
          <w:rFonts w:asciiTheme="majorBidi" w:hAnsiTheme="majorBidi" w:cstheme="majorBidi"/>
          <w:color w:val="0D0D0D" w:themeColor="text1" w:themeTint="F2"/>
        </w:rPr>
        <w:t>Tilwani</w:t>
      </w:r>
      <w:r w:rsidRPr="00E4782C">
        <w:rPr>
          <w:rFonts w:asciiTheme="majorBidi" w:hAnsiTheme="majorBidi" w:cstheme="majorBidi"/>
          <w:color w:val="0D0D0D" w:themeColor="text1" w:themeTint="F2"/>
        </w:rPr>
        <w:t>, J.; Kulkarni, A. Hepatoprotective effect of essential phospholipids enriched with virgin coconut oil (</w:t>
      </w:r>
      <w:r w:rsidRPr="00E4782C">
        <w:rPr>
          <w:rFonts w:asciiTheme="majorBidi" w:hAnsiTheme="majorBidi" w:cstheme="majorBidi"/>
          <w:color w:val="0D0D0D" w:themeColor="text1" w:themeTint="F2"/>
        </w:rPr>
        <w:t>Phoscoliv</w:t>
      </w:r>
      <w:r w:rsidRPr="00E4782C">
        <w:rPr>
          <w:rFonts w:asciiTheme="majorBidi" w:hAnsiTheme="majorBidi" w:cstheme="majorBidi"/>
          <w:color w:val="0D0D0D" w:themeColor="text1" w:themeTint="F2"/>
        </w:rPr>
        <w:t>) on paracetamol‐induced liver toxicity. </w:t>
      </w:r>
      <w:r w:rsidRPr="00E4782C">
        <w:rPr>
          <w:rFonts w:asciiTheme="majorBidi" w:hAnsiTheme="majorBidi" w:cstheme="majorBidi"/>
          <w:i/>
          <w:iCs/>
          <w:color w:val="0D0D0D" w:themeColor="text1" w:themeTint="F2"/>
        </w:rPr>
        <w:t>Journal of Food Biochemistry</w:t>
      </w:r>
      <w:r w:rsidRPr="00E4782C">
        <w:rPr>
          <w:rFonts w:asciiTheme="majorBidi" w:hAnsiTheme="majorBidi" w:cstheme="majorBidi"/>
          <w:color w:val="0D0D0D" w:themeColor="text1" w:themeTint="F2"/>
        </w:rPr>
        <w:t xml:space="preserve">, </w:t>
      </w:r>
      <w:r w:rsidRPr="00E4782C">
        <w:rPr>
          <w:rFonts w:asciiTheme="majorBidi" w:hAnsiTheme="majorBidi" w:cstheme="majorBidi"/>
          <w:b/>
          <w:bCs/>
          <w:color w:val="0D0D0D" w:themeColor="text1" w:themeTint="F2"/>
        </w:rPr>
        <w:t>2021</w:t>
      </w:r>
      <w:r w:rsidRPr="00E4782C">
        <w:rPr>
          <w:rFonts w:asciiTheme="majorBidi" w:hAnsiTheme="majorBidi" w:cstheme="majorBidi"/>
          <w:color w:val="0D0D0D" w:themeColor="text1" w:themeTint="F2"/>
        </w:rPr>
        <w:t>, 45.2: e13606</w:t>
      </w:r>
      <w:r w:rsidRPr="00E4782C">
        <w:rPr>
          <w:rFonts w:asciiTheme="majorBidi" w:hAnsiTheme="majorBidi" w:cstheme="majorBidi"/>
          <w:color w:val="0D0D0D" w:themeColor="text1" w:themeTint="F2"/>
        </w:rPr>
        <w:t>. </w:t>
      </w:r>
      <w:hyperlink r:id="rId12" w:history="1">
        <w:r w:rsidRPr="00E4782C">
          <w:rPr>
            <w:rStyle w:val="Hyperlink"/>
            <w:rFonts w:asciiTheme="majorBidi" w:hAnsiTheme="majorBidi" w:cstheme="majorBidi"/>
            <w:color w:val="0D0D0D" w:themeColor="text1" w:themeTint="F2"/>
            <w:u w:val="none"/>
          </w:rPr>
          <w:t>https://doi.org/10.1111/jfbc.13606</w:t>
        </w:r>
      </w:hyperlink>
    </w:p>
    <w:p w:rsidR="008244B1" w:rsidRPr="00E4782C" w:rsidP="00AB1813" w14:paraId="3C6B8A92" w14:textId="141354C4">
      <w:pPr>
        <w:pStyle w:val="Biont71References"/>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 xml:space="preserve">Mohamed, K. G. A.; </w:t>
      </w:r>
      <w:r w:rsidRPr="00E4782C">
        <w:rPr>
          <w:rFonts w:asciiTheme="majorBidi" w:hAnsiTheme="majorBidi" w:cstheme="majorBidi"/>
          <w:color w:val="0D0D0D" w:themeColor="text1" w:themeTint="F2"/>
        </w:rPr>
        <w:t>Harahsheh</w:t>
      </w:r>
      <w:r w:rsidRPr="00E4782C">
        <w:rPr>
          <w:rFonts w:asciiTheme="majorBidi" w:hAnsiTheme="majorBidi" w:cstheme="majorBidi"/>
          <w:color w:val="0D0D0D" w:themeColor="text1" w:themeTint="F2"/>
        </w:rPr>
        <w:t>, E.; Hussein, S.</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Diacerein ameliorates acetaminophen hepatotoxicity in rats via inhibiting HMGB1/TLR4/NF-</w:t>
      </w:r>
      <w:r w:rsidRPr="00E4782C">
        <w:rPr>
          <w:rFonts w:asciiTheme="majorBidi" w:hAnsiTheme="majorBidi" w:cstheme="majorBidi"/>
          <w:color w:val="0D0D0D" w:themeColor="text1" w:themeTint="F2"/>
        </w:rPr>
        <w:t>κB</w:t>
      </w:r>
      <w:r w:rsidRPr="00E4782C">
        <w:rPr>
          <w:rFonts w:asciiTheme="majorBidi" w:hAnsiTheme="majorBidi" w:cstheme="majorBidi"/>
          <w:color w:val="0D0D0D" w:themeColor="text1" w:themeTint="F2"/>
        </w:rPr>
        <w:t xml:space="preserve"> and upregulating PPAR-γ signal. </w:t>
      </w:r>
      <w:r w:rsidRPr="00E4782C">
        <w:rPr>
          <w:rFonts w:asciiTheme="majorBidi" w:hAnsiTheme="majorBidi" w:cstheme="majorBidi"/>
          <w:i/>
          <w:iCs/>
          <w:color w:val="0D0D0D" w:themeColor="text1" w:themeTint="F2"/>
        </w:rPr>
        <w:t>Molecular Biology Reports</w:t>
      </w:r>
      <w:r w:rsidRPr="00E4782C">
        <w:rPr>
          <w:rFonts w:asciiTheme="majorBidi" w:hAnsiTheme="majorBidi" w:cstheme="majorBidi"/>
          <w:color w:val="0D0D0D" w:themeColor="text1" w:themeTint="F2"/>
        </w:rPr>
        <w:t xml:space="preserve">, </w:t>
      </w:r>
      <w:r w:rsidRPr="00E4782C">
        <w:rPr>
          <w:rFonts w:asciiTheme="majorBidi" w:hAnsiTheme="majorBidi" w:cstheme="majorBidi"/>
          <w:b/>
          <w:bCs/>
          <w:color w:val="0D0D0D" w:themeColor="text1" w:themeTint="F2"/>
        </w:rPr>
        <w:t>2022</w:t>
      </w:r>
      <w:r w:rsidRPr="00E4782C">
        <w:rPr>
          <w:rFonts w:asciiTheme="majorBidi" w:hAnsiTheme="majorBidi" w:cstheme="majorBidi"/>
          <w:color w:val="0D0D0D" w:themeColor="text1" w:themeTint="F2"/>
        </w:rPr>
        <w:t>, 1-12</w:t>
      </w:r>
      <w:r w:rsidRPr="00E4782C">
        <w:rPr>
          <w:rFonts w:asciiTheme="majorBidi" w:hAnsiTheme="majorBidi" w:cstheme="majorBidi"/>
          <w:color w:val="0D0D0D" w:themeColor="text1" w:themeTint="F2"/>
        </w:rPr>
        <w:t>. https://doi.org/10.1007/s11033-022-07366-5</w:t>
      </w:r>
    </w:p>
    <w:p w:rsidR="008244B1" w:rsidRPr="00E4782C" w:rsidP="00AB1813" w14:paraId="04AFC5BB" w14:textId="7F924AA5">
      <w:pPr>
        <w:pStyle w:val="Biont71References"/>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Abd-Allah</w:t>
      </w:r>
      <w:r w:rsidRPr="00E4782C" w:rsidR="00AB1813">
        <w:rPr>
          <w:rFonts w:asciiTheme="majorBidi" w:hAnsiTheme="majorBidi" w:cstheme="majorBidi"/>
          <w:color w:val="0D0D0D" w:themeColor="text1" w:themeTint="F2"/>
        </w:rPr>
        <w:t>, A. A. M.; El-</w:t>
      </w:r>
      <w:r w:rsidRPr="00E4782C" w:rsidR="00AB1813">
        <w:rPr>
          <w:rFonts w:asciiTheme="majorBidi" w:hAnsiTheme="majorBidi" w:cstheme="majorBidi"/>
          <w:color w:val="0D0D0D" w:themeColor="text1" w:themeTint="F2"/>
        </w:rPr>
        <w:t>Deen</w:t>
      </w:r>
      <w:r w:rsidRPr="00E4782C" w:rsidR="00AB1813">
        <w:rPr>
          <w:rFonts w:asciiTheme="majorBidi" w:hAnsiTheme="majorBidi" w:cstheme="majorBidi"/>
          <w:color w:val="0D0D0D" w:themeColor="text1" w:themeTint="F2"/>
        </w:rPr>
        <w:t>, N. A. M. N.; Mohamed, W. A. M.; Naguib, F. M. Mast cells and pro-inflammatory cytokines roles in assessment of grape seeds extract anti-inflammatory activity in rat model of carrageenan-induced paw edema. </w:t>
      </w:r>
      <w:r w:rsidRPr="00E4782C" w:rsidR="00AB1813">
        <w:rPr>
          <w:rFonts w:asciiTheme="majorBidi" w:hAnsiTheme="majorBidi" w:cstheme="majorBidi"/>
          <w:i/>
          <w:iCs/>
          <w:color w:val="0D0D0D" w:themeColor="text1" w:themeTint="F2"/>
        </w:rPr>
        <w:t>Iranian journal of basic medical sciences</w:t>
      </w:r>
      <w:r w:rsidRPr="00E4782C" w:rsidR="00AB1813">
        <w:rPr>
          <w:rFonts w:asciiTheme="majorBidi" w:hAnsiTheme="majorBidi" w:cstheme="majorBidi"/>
          <w:color w:val="0D0D0D" w:themeColor="text1" w:themeTint="F2"/>
        </w:rPr>
        <w:t xml:space="preserve">, </w:t>
      </w:r>
      <w:r w:rsidRPr="00E4782C" w:rsidR="00AB1813">
        <w:rPr>
          <w:rFonts w:asciiTheme="majorBidi" w:hAnsiTheme="majorBidi" w:cstheme="majorBidi"/>
          <w:b/>
          <w:bCs/>
          <w:color w:val="0D0D0D" w:themeColor="text1" w:themeTint="F2"/>
        </w:rPr>
        <w:t>2018</w:t>
      </w:r>
      <w:r w:rsidRPr="00E4782C" w:rsidR="00AB1813">
        <w:rPr>
          <w:rFonts w:asciiTheme="majorBidi" w:hAnsiTheme="majorBidi" w:cstheme="majorBidi"/>
          <w:color w:val="0D0D0D" w:themeColor="text1" w:themeTint="F2"/>
        </w:rPr>
        <w:t>, 21.1: 97</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doi</w:t>
      </w:r>
      <w:r w:rsidRPr="00E4782C">
        <w:rPr>
          <w:rFonts w:asciiTheme="majorBidi" w:hAnsiTheme="majorBidi" w:cstheme="majorBidi"/>
          <w:color w:val="0D0D0D" w:themeColor="text1" w:themeTint="F2"/>
        </w:rPr>
        <w:t>: 10.22038/IJBMS.2017.25067.6219</w:t>
      </w:r>
      <w:r w:rsidRPr="00E4782C" w:rsidR="00AB1813">
        <w:rPr>
          <w:rFonts w:asciiTheme="majorBidi" w:hAnsiTheme="majorBidi" w:cstheme="majorBidi"/>
          <w:color w:val="0D0D0D" w:themeColor="text1" w:themeTint="F2"/>
        </w:rPr>
        <w:t>.</w:t>
      </w:r>
    </w:p>
    <w:p w:rsidR="008244B1" w:rsidRPr="00E4782C" w:rsidP="00191CA7" w14:paraId="66413D5F" w14:textId="784E9C09">
      <w:pPr>
        <w:pStyle w:val="Biont71References"/>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Awni</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N</w:t>
      </w:r>
      <w:r w:rsidRPr="00E4782C">
        <w:rPr>
          <w:rFonts w:asciiTheme="majorBidi" w:hAnsiTheme="majorBidi" w:cstheme="majorBidi"/>
          <w:color w:val="0D0D0D" w:themeColor="text1" w:themeTint="F2"/>
        </w:rPr>
        <w:t xml:space="preserve">.; Ahmed, </w:t>
      </w:r>
      <w:r w:rsidRPr="00E4782C">
        <w:rPr>
          <w:rFonts w:asciiTheme="majorBidi" w:hAnsiTheme="majorBidi" w:cstheme="majorBidi"/>
          <w:color w:val="0D0D0D" w:themeColor="text1" w:themeTint="F2"/>
        </w:rPr>
        <w:t>T</w:t>
      </w:r>
      <w:r w:rsidRPr="00E4782C">
        <w:rPr>
          <w:rFonts w:asciiTheme="majorBidi" w:hAnsiTheme="majorBidi" w:cstheme="majorBidi"/>
          <w:color w:val="0D0D0D" w:themeColor="text1" w:themeTint="F2"/>
        </w:rPr>
        <w:t>.</w:t>
      </w:r>
      <w:r w:rsidRPr="00E4782C">
        <w:rPr>
          <w:rFonts w:asciiTheme="majorBidi" w:hAnsiTheme="majorBidi" w:cstheme="majorBidi"/>
          <w:color w:val="0D0D0D" w:themeColor="text1" w:themeTint="F2"/>
        </w:rPr>
        <w:t xml:space="preserve"> S</w:t>
      </w:r>
      <w:r w:rsidRPr="00E4782C">
        <w:rPr>
          <w:rFonts w:asciiTheme="majorBidi" w:hAnsiTheme="majorBidi" w:cstheme="majorBidi"/>
          <w:color w:val="0D0D0D" w:themeColor="text1" w:themeTint="F2"/>
        </w:rPr>
        <w:t>.;</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Sarhat</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E</w:t>
      </w:r>
      <w:r w:rsidRPr="00E4782C">
        <w:rPr>
          <w:rFonts w:asciiTheme="majorBidi" w:hAnsiTheme="majorBidi" w:cstheme="majorBidi"/>
          <w:color w:val="0D0D0D" w:themeColor="text1" w:themeTint="F2"/>
        </w:rPr>
        <w:t>.</w:t>
      </w:r>
      <w:r w:rsidRPr="00E4782C">
        <w:rPr>
          <w:rFonts w:asciiTheme="majorBidi" w:hAnsiTheme="majorBidi" w:cstheme="majorBidi"/>
          <w:color w:val="0D0D0D" w:themeColor="text1" w:themeTint="F2"/>
        </w:rPr>
        <w:t xml:space="preserve"> R.</w:t>
      </w:r>
      <w:r w:rsidRPr="00E4782C">
        <w:rPr>
          <w:rFonts w:asciiTheme="majorBidi" w:hAnsiTheme="majorBidi" w:cstheme="majorBidi"/>
          <w:color w:val="0D0D0D" w:themeColor="text1" w:themeTint="F2"/>
        </w:rPr>
        <w:t xml:space="preserve"> Ali, </w:t>
      </w:r>
      <w:r w:rsidRPr="00E4782C">
        <w:rPr>
          <w:rFonts w:asciiTheme="majorBidi" w:hAnsiTheme="majorBidi" w:cstheme="majorBidi"/>
          <w:color w:val="0D0D0D" w:themeColor="text1" w:themeTint="F2"/>
        </w:rPr>
        <w:t>N</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H</w:t>
      </w:r>
      <w:r w:rsidRPr="00E4782C">
        <w:rPr>
          <w:rFonts w:asciiTheme="majorBidi" w:hAnsiTheme="majorBidi" w:cstheme="majorBidi"/>
          <w:color w:val="0D0D0D" w:themeColor="text1" w:themeTint="F2"/>
        </w:rPr>
        <w:t>.;</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Abass</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K</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S</w:t>
      </w:r>
      <w:r w:rsidRPr="00E4782C">
        <w:rPr>
          <w:rFonts w:asciiTheme="majorBidi" w:hAnsiTheme="majorBidi" w:cstheme="majorBidi"/>
          <w:color w:val="0D0D0D" w:themeColor="text1" w:themeTint="F2"/>
        </w:rPr>
        <w:t xml:space="preserve">. </w:t>
      </w:r>
      <w:r w:rsidRPr="00E4782C">
        <w:rPr>
          <w:rFonts w:asciiTheme="majorBidi" w:hAnsiTheme="majorBidi" w:cstheme="majorBidi"/>
          <w:color w:val="0D0D0D" w:themeColor="text1" w:themeTint="F2"/>
        </w:rPr>
        <w:t xml:space="preserve">Altered serum levels of melatonin, antioxidant enzymes and oxidative stress in individuals with diabetes mellitus type 2. </w:t>
      </w:r>
      <w:r w:rsidRPr="00E4782C">
        <w:rPr>
          <w:rFonts w:asciiTheme="majorBidi" w:hAnsiTheme="majorBidi" w:cstheme="majorBidi"/>
          <w:i/>
          <w:iCs/>
          <w:color w:val="0D0D0D" w:themeColor="text1" w:themeTint="F2"/>
        </w:rPr>
        <w:t>Revista</w:t>
      </w:r>
      <w:r w:rsidRPr="00E4782C">
        <w:rPr>
          <w:rFonts w:asciiTheme="majorBidi" w:hAnsiTheme="majorBidi" w:cstheme="majorBidi"/>
          <w:i/>
          <w:iCs/>
          <w:color w:val="0D0D0D" w:themeColor="text1" w:themeTint="F2"/>
        </w:rPr>
        <w:t xml:space="preserve"> </w:t>
      </w:r>
      <w:r w:rsidRPr="00E4782C">
        <w:rPr>
          <w:rFonts w:asciiTheme="majorBidi" w:hAnsiTheme="majorBidi" w:cstheme="majorBidi"/>
          <w:i/>
          <w:iCs/>
          <w:color w:val="0D0D0D" w:themeColor="text1" w:themeTint="F2"/>
        </w:rPr>
        <w:t>Latinoamericana</w:t>
      </w:r>
      <w:r w:rsidRPr="00E4782C">
        <w:rPr>
          <w:rFonts w:asciiTheme="majorBidi" w:hAnsiTheme="majorBidi" w:cstheme="majorBidi"/>
          <w:i/>
          <w:iCs/>
          <w:color w:val="0D0D0D" w:themeColor="text1" w:themeTint="F2"/>
        </w:rPr>
        <w:t xml:space="preserve"> de </w:t>
      </w:r>
      <w:r w:rsidRPr="00E4782C">
        <w:rPr>
          <w:rFonts w:asciiTheme="majorBidi" w:hAnsiTheme="majorBidi" w:cstheme="majorBidi"/>
          <w:i/>
          <w:iCs/>
          <w:color w:val="0D0D0D" w:themeColor="text1" w:themeTint="F2"/>
        </w:rPr>
        <w:t>Hipertensión</w:t>
      </w:r>
      <w:r w:rsidRPr="00E4782C">
        <w:rPr>
          <w:rFonts w:asciiTheme="majorBidi" w:hAnsiTheme="majorBidi" w:cstheme="majorBidi"/>
          <w:color w:val="0D0D0D" w:themeColor="text1" w:themeTint="F2"/>
        </w:rPr>
        <w:t xml:space="preserve">, </w:t>
      </w:r>
      <w:r w:rsidRPr="00E4782C">
        <w:rPr>
          <w:rFonts w:asciiTheme="majorBidi" w:hAnsiTheme="majorBidi" w:cstheme="majorBidi"/>
          <w:b/>
          <w:bCs/>
          <w:color w:val="0D0D0D" w:themeColor="text1" w:themeTint="F2"/>
        </w:rPr>
        <w:t>2022</w:t>
      </w:r>
      <w:r w:rsidRPr="00E4782C">
        <w:rPr>
          <w:rFonts w:asciiTheme="majorBidi" w:hAnsiTheme="majorBidi" w:cstheme="majorBidi"/>
          <w:color w:val="0D0D0D" w:themeColor="text1" w:themeTint="F2"/>
        </w:rPr>
        <w:t>, 17.</w:t>
      </w:r>
      <w:r w:rsidRPr="00E4782C" w:rsidR="00191CA7">
        <w:rPr>
          <w:rFonts w:eastAsia="SimSun" w:asciiTheme="majorBidi" w:hAnsiTheme="majorBidi" w:cstheme="majorBidi"/>
          <w:noProof/>
          <w:sz w:val="20"/>
          <w:lang w:eastAsia="zh-CN" w:bidi="ar-SA"/>
        </w:rPr>
        <w:t xml:space="preserve"> </w:t>
      </w:r>
      <w:r w:rsidRPr="00E4782C" w:rsidR="00191CA7">
        <w:rPr>
          <w:rFonts w:asciiTheme="majorBidi" w:hAnsiTheme="majorBidi" w:cstheme="majorBidi"/>
          <w:color w:val="0D0D0D" w:themeColor="text1" w:themeTint="F2"/>
        </w:rPr>
        <w:t>Nº 2</w:t>
      </w:r>
      <w:r w:rsidRPr="00E4782C">
        <w:rPr>
          <w:rFonts w:asciiTheme="majorBidi" w:hAnsiTheme="majorBidi" w:cstheme="majorBidi"/>
          <w:color w:val="0D0D0D" w:themeColor="text1" w:themeTint="F2"/>
        </w:rPr>
        <w:t>:138-141.</w:t>
      </w:r>
    </w:p>
    <w:p w:rsidR="008244B1" w:rsidRPr="00E4782C" w:rsidP="00191CA7" w14:paraId="6FDC4651" w14:textId="31F73678">
      <w:pPr>
        <w:pStyle w:val="Biont71References"/>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Mohammed,</w:t>
      </w:r>
      <w:r w:rsidRPr="00E4782C" w:rsidR="00191CA7">
        <w:rPr>
          <w:rFonts w:eastAsia="SimSun" w:asciiTheme="majorBidi" w:hAnsiTheme="majorBidi" w:cstheme="majorBidi"/>
          <w:noProof/>
          <w:color w:val="222222"/>
          <w:sz w:val="20"/>
          <w:shd w:val="clear" w:color="auto" w:fill="FFFFFF"/>
          <w:lang w:eastAsia="zh-CN" w:bidi="ar-SA"/>
        </w:rPr>
        <w:t xml:space="preserve"> </w:t>
      </w:r>
      <w:r w:rsidRPr="00E4782C" w:rsidR="00191CA7">
        <w:rPr>
          <w:rFonts w:asciiTheme="majorBidi" w:hAnsiTheme="majorBidi" w:cstheme="majorBidi"/>
          <w:color w:val="0D0D0D" w:themeColor="text1" w:themeTint="F2"/>
        </w:rPr>
        <w:t xml:space="preserve">I. J.; </w:t>
      </w:r>
      <w:r w:rsidRPr="00E4782C" w:rsidR="00191CA7">
        <w:rPr>
          <w:rFonts w:asciiTheme="majorBidi" w:hAnsiTheme="majorBidi" w:cstheme="majorBidi"/>
          <w:color w:val="0D0D0D" w:themeColor="text1" w:themeTint="F2"/>
        </w:rPr>
        <w:t>Sarhat</w:t>
      </w:r>
      <w:r w:rsidRPr="00E4782C" w:rsidR="00191CA7">
        <w:rPr>
          <w:rFonts w:asciiTheme="majorBidi" w:hAnsiTheme="majorBidi" w:cstheme="majorBidi"/>
          <w:color w:val="0D0D0D" w:themeColor="text1" w:themeTint="F2"/>
        </w:rPr>
        <w:t xml:space="preserve">, E. R.; </w:t>
      </w:r>
      <w:r w:rsidRPr="00E4782C" w:rsidR="00191CA7">
        <w:rPr>
          <w:rFonts w:asciiTheme="majorBidi" w:hAnsiTheme="majorBidi" w:cstheme="majorBidi"/>
          <w:color w:val="0D0D0D" w:themeColor="text1" w:themeTint="F2"/>
        </w:rPr>
        <w:t>Wadee</w:t>
      </w:r>
      <w:r w:rsidRPr="00E4782C" w:rsidR="00191CA7">
        <w:rPr>
          <w:rFonts w:asciiTheme="majorBidi" w:hAnsiTheme="majorBidi" w:cstheme="majorBidi"/>
          <w:color w:val="0D0D0D" w:themeColor="text1" w:themeTint="F2"/>
        </w:rPr>
        <w:t>, S. A.; Al-</w:t>
      </w:r>
      <w:r w:rsidRPr="00E4782C" w:rsidR="00191CA7">
        <w:rPr>
          <w:rFonts w:asciiTheme="majorBidi" w:hAnsiTheme="majorBidi" w:cstheme="majorBidi"/>
          <w:color w:val="0D0D0D" w:themeColor="text1" w:themeTint="F2"/>
        </w:rPr>
        <w:t>Shiakhani</w:t>
      </w:r>
      <w:r w:rsidRPr="00E4782C" w:rsidR="00191CA7">
        <w:rPr>
          <w:rFonts w:asciiTheme="majorBidi" w:hAnsiTheme="majorBidi" w:cstheme="majorBidi"/>
          <w:color w:val="0D0D0D" w:themeColor="text1" w:themeTint="F2"/>
        </w:rPr>
        <w:t>, S. M</w:t>
      </w:r>
      <w:r w:rsidRPr="00E4782C">
        <w:rPr>
          <w:rFonts w:asciiTheme="majorBidi" w:hAnsiTheme="majorBidi" w:cstheme="majorBidi"/>
          <w:color w:val="0D0D0D" w:themeColor="text1" w:themeTint="F2"/>
        </w:rPr>
        <w:t>.</w:t>
      </w:r>
      <w:r w:rsidRPr="00E4782C" w:rsidR="00191CA7">
        <w:rPr>
          <w:rFonts w:eastAsia="SimSun" w:asciiTheme="majorBidi" w:hAnsiTheme="majorBidi" w:cstheme="majorBidi"/>
          <w:noProof/>
          <w:color w:val="222222"/>
          <w:sz w:val="20"/>
          <w:shd w:val="clear" w:color="auto" w:fill="FFFFFF"/>
          <w:lang w:eastAsia="zh-CN" w:bidi="ar-SA"/>
        </w:rPr>
        <w:t xml:space="preserve"> </w:t>
      </w:r>
      <w:r w:rsidRPr="00E4782C" w:rsidR="00191CA7">
        <w:rPr>
          <w:rFonts w:asciiTheme="majorBidi" w:hAnsiTheme="majorBidi" w:cstheme="majorBidi"/>
          <w:color w:val="0D0D0D" w:themeColor="text1" w:themeTint="F2"/>
        </w:rPr>
        <w:t>Histological and biochemical evaluation of the effect of desloratadine drug in parotid gland tissues. </w:t>
      </w:r>
      <w:r w:rsidRPr="00E4782C" w:rsidR="00191CA7">
        <w:rPr>
          <w:rFonts w:asciiTheme="majorBidi" w:hAnsiTheme="majorBidi" w:cstheme="majorBidi"/>
          <w:i/>
          <w:iCs/>
          <w:color w:val="0D0D0D" w:themeColor="text1" w:themeTint="F2"/>
        </w:rPr>
        <w:t>Al-Anbar Medical Journal</w:t>
      </w:r>
      <w:r w:rsidRPr="00E4782C" w:rsidR="00191CA7">
        <w:rPr>
          <w:rFonts w:asciiTheme="majorBidi" w:hAnsiTheme="majorBidi" w:cstheme="majorBidi"/>
          <w:color w:val="0D0D0D" w:themeColor="text1" w:themeTint="F2"/>
        </w:rPr>
        <w:t xml:space="preserve">, </w:t>
      </w:r>
      <w:r w:rsidRPr="00E4782C" w:rsidR="00191CA7">
        <w:rPr>
          <w:rFonts w:asciiTheme="majorBidi" w:hAnsiTheme="majorBidi" w:cstheme="majorBidi"/>
          <w:b/>
          <w:bCs/>
          <w:color w:val="0D0D0D" w:themeColor="text1" w:themeTint="F2"/>
        </w:rPr>
        <w:t>2021</w:t>
      </w:r>
      <w:r w:rsidRPr="00E4782C" w:rsidR="00191CA7">
        <w:rPr>
          <w:rFonts w:asciiTheme="majorBidi" w:hAnsiTheme="majorBidi" w:cstheme="majorBidi"/>
          <w:color w:val="0D0D0D" w:themeColor="text1" w:themeTint="F2"/>
        </w:rPr>
        <w:t>, 17.2.</w:t>
      </w:r>
    </w:p>
    <w:p w:rsidR="008244B1" w:rsidRPr="00E4782C" w:rsidP="00191CA7" w14:paraId="70828556" w14:textId="3B0A5FE9">
      <w:pPr>
        <w:pStyle w:val="Biont71References"/>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 xml:space="preserve">Taha, M. E. S.; Kamal, A. M.; Ibrahim, D. R. Possible protective effect of olive leaves </w:t>
      </w:r>
      <w:r w:rsidRPr="00E4782C">
        <w:rPr>
          <w:rFonts w:asciiTheme="majorBidi" w:hAnsiTheme="majorBidi" w:cstheme="majorBidi"/>
          <w:color w:val="0D0D0D" w:themeColor="text1" w:themeTint="F2"/>
        </w:rPr>
        <w:t>extract</w:t>
      </w:r>
      <w:r w:rsidRPr="00E4782C">
        <w:rPr>
          <w:rFonts w:asciiTheme="majorBidi" w:hAnsiTheme="majorBidi" w:cstheme="majorBidi"/>
          <w:color w:val="0D0D0D" w:themeColor="text1" w:themeTint="F2"/>
        </w:rPr>
        <w:t xml:space="preserve"> on paracetamol induced hepatotoxicity in male albino rats. </w:t>
      </w:r>
      <w:r w:rsidRPr="00E4782C">
        <w:rPr>
          <w:rFonts w:asciiTheme="majorBidi" w:hAnsiTheme="majorBidi" w:cstheme="majorBidi"/>
          <w:i/>
          <w:iCs/>
          <w:color w:val="0D0D0D" w:themeColor="text1" w:themeTint="F2"/>
        </w:rPr>
        <w:t>Biosci</w:t>
      </w:r>
      <w:r w:rsidRPr="00E4782C">
        <w:rPr>
          <w:rFonts w:asciiTheme="majorBidi" w:hAnsiTheme="majorBidi" w:cstheme="majorBidi"/>
          <w:i/>
          <w:iCs/>
          <w:color w:val="0D0D0D" w:themeColor="text1" w:themeTint="F2"/>
        </w:rPr>
        <w:t xml:space="preserve">. </w:t>
      </w:r>
      <w:r w:rsidRPr="00E4782C">
        <w:rPr>
          <w:rFonts w:asciiTheme="majorBidi" w:hAnsiTheme="majorBidi" w:cstheme="majorBidi"/>
          <w:i/>
          <w:iCs/>
          <w:color w:val="0D0D0D" w:themeColor="text1" w:themeTint="F2"/>
        </w:rPr>
        <w:t>j.(</w:t>
      </w:r>
      <w:r w:rsidRPr="00E4782C">
        <w:rPr>
          <w:rFonts w:asciiTheme="majorBidi" w:hAnsiTheme="majorBidi" w:cstheme="majorBidi"/>
          <w:i/>
          <w:iCs/>
          <w:color w:val="0D0D0D" w:themeColor="text1" w:themeTint="F2"/>
        </w:rPr>
        <w:t>Online)</w:t>
      </w:r>
      <w:r w:rsidRPr="00E4782C">
        <w:rPr>
          <w:rFonts w:asciiTheme="majorBidi" w:hAnsiTheme="majorBidi" w:cstheme="majorBidi"/>
          <w:color w:val="0D0D0D" w:themeColor="text1" w:themeTint="F2"/>
        </w:rPr>
        <w:t xml:space="preserve">, </w:t>
      </w:r>
      <w:r w:rsidRPr="00E4782C">
        <w:rPr>
          <w:rFonts w:asciiTheme="majorBidi" w:hAnsiTheme="majorBidi" w:cstheme="majorBidi"/>
          <w:b/>
          <w:bCs/>
          <w:color w:val="0D0D0D" w:themeColor="text1" w:themeTint="F2"/>
        </w:rPr>
        <w:t>2020</w:t>
      </w:r>
      <w:r w:rsidRPr="00E4782C">
        <w:rPr>
          <w:rFonts w:asciiTheme="majorBidi" w:hAnsiTheme="majorBidi" w:cstheme="majorBidi"/>
          <w:color w:val="0D0D0D" w:themeColor="text1" w:themeTint="F2"/>
        </w:rPr>
        <w:t>, 245-255</w:t>
      </w:r>
      <w:r w:rsidRPr="00E4782C">
        <w:rPr>
          <w:rFonts w:asciiTheme="majorBidi" w:hAnsiTheme="majorBidi" w:cstheme="majorBidi"/>
          <w:color w:val="0D0D0D" w:themeColor="text1" w:themeTint="F2"/>
        </w:rPr>
        <w:t>.</w:t>
      </w:r>
    </w:p>
    <w:p w:rsidR="008244B1" w:rsidRPr="00E4782C" w:rsidP="00191CA7" w14:paraId="5A423471" w14:textId="47D33B02">
      <w:pPr>
        <w:pStyle w:val="Biont71References"/>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Sarhat</w:t>
      </w:r>
      <w:r w:rsidRPr="00E4782C">
        <w:rPr>
          <w:rFonts w:asciiTheme="majorBidi" w:hAnsiTheme="majorBidi" w:cstheme="majorBidi"/>
          <w:color w:val="0D0D0D" w:themeColor="text1" w:themeTint="F2"/>
        </w:rPr>
        <w:t xml:space="preserve">, E. R.; Wadi, S. A.; Mahmood, A. R. Effect of ethanolic extraction of moringa oleifera on </w:t>
      </w:r>
      <w:r w:rsidRPr="00E4782C">
        <w:rPr>
          <w:rFonts w:asciiTheme="majorBidi" w:hAnsiTheme="majorBidi" w:cstheme="majorBidi"/>
          <w:color w:val="0D0D0D" w:themeColor="text1" w:themeTint="F2"/>
        </w:rPr>
        <w:t>paraoxonase</w:t>
      </w:r>
      <w:r w:rsidRPr="00E4782C">
        <w:rPr>
          <w:rFonts w:asciiTheme="majorBidi" w:hAnsiTheme="majorBidi" w:cstheme="majorBidi"/>
          <w:color w:val="0D0D0D" w:themeColor="text1" w:themeTint="F2"/>
        </w:rPr>
        <w:t xml:space="preserve"> and </w:t>
      </w:r>
      <w:r w:rsidRPr="00E4782C">
        <w:rPr>
          <w:rFonts w:asciiTheme="majorBidi" w:hAnsiTheme="majorBidi" w:cstheme="majorBidi"/>
          <w:color w:val="0D0D0D" w:themeColor="text1" w:themeTint="F2"/>
        </w:rPr>
        <w:t>arylesterase</w:t>
      </w:r>
      <w:r w:rsidRPr="00E4782C">
        <w:rPr>
          <w:rFonts w:asciiTheme="majorBidi" w:hAnsiTheme="majorBidi" w:cstheme="majorBidi"/>
          <w:color w:val="0D0D0D" w:themeColor="text1" w:themeTint="F2"/>
        </w:rPr>
        <w:t xml:space="preserve"> enzyme activity in high fat diet-induced obesity in rats. </w:t>
      </w:r>
      <w:r w:rsidRPr="00E4782C">
        <w:rPr>
          <w:rFonts w:asciiTheme="majorBidi" w:hAnsiTheme="majorBidi" w:cstheme="majorBidi"/>
          <w:i/>
          <w:iCs/>
          <w:color w:val="0D0D0D" w:themeColor="text1" w:themeTint="F2"/>
        </w:rPr>
        <w:t>Res. J. Pharm. Technol</w:t>
      </w:r>
      <w:r w:rsidRPr="00E4782C">
        <w:rPr>
          <w:rFonts w:asciiTheme="majorBidi" w:hAnsiTheme="majorBidi" w:cstheme="majorBidi"/>
          <w:color w:val="0D0D0D" w:themeColor="text1" w:themeTint="F2"/>
        </w:rPr>
        <w:t xml:space="preserve">, </w:t>
      </w:r>
      <w:r w:rsidRPr="00E4782C">
        <w:rPr>
          <w:rFonts w:asciiTheme="majorBidi" w:hAnsiTheme="majorBidi" w:cstheme="majorBidi"/>
          <w:b/>
          <w:bCs/>
          <w:color w:val="0D0D0D" w:themeColor="text1" w:themeTint="F2"/>
        </w:rPr>
        <w:t>2018</w:t>
      </w:r>
      <w:r w:rsidRPr="00E4782C">
        <w:rPr>
          <w:rFonts w:asciiTheme="majorBidi" w:hAnsiTheme="majorBidi" w:cstheme="majorBidi"/>
          <w:color w:val="0D0D0D" w:themeColor="text1" w:themeTint="F2"/>
        </w:rPr>
        <w:t>, 11.10: 4601-4604</w:t>
      </w:r>
      <w:r w:rsidRPr="00E4782C">
        <w:rPr>
          <w:rFonts w:asciiTheme="majorBidi" w:hAnsiTheme="majorBidi" w:cstheme="majorBidi"/>
          <w:color w:val="0D0D0D" w:themeColor="text1" w:themeTint="F2"/>
        </w:rPr>
        <w:t>.</w:t>
      </w:r>
    </w:p>
    <w:p w:rsidR="008244B1" w:rsidRPr="00E4782C" w:rsidP="00191CA7" w14:paraId="38E2CB29" w14:textId="071C8121">
      <w:pPr>
        <w:pStyle w:val="Biont71References"/>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Entedhar</w:t>
      </w:r>
      <w:r w:rsidRPr="00E4782C">
        <w:rPr>
          <w:rFonts w:asciiTheme="majorBidi" w:hAnsiTheme="majorBidi" w:cstheme="majorBidi"/>
          <w:color w:val="0D0D0D" w:themeColor="text1" w:themeTint="F2"/>
        </w:rPr>
        <w:t xml:space="preserve">, R. S. Effect of Ginger on the activity of some antioxidant enzymes (Superoxide dismutase, and catalase) of Alloxan Experimental Induced-Diabetic Rabbits. </w:t>
      </w:r>
      <w:r w:rsidRPr="00E4782C">
        <w:rPr>
          <w:rFonts w:asciiTheme="majorBidi" w:hAnsiTheme="majorBidi" w:cstheme="majorBidi"/>
          <w:i/>
          <w:iCs/>
          <w:color w:val="0D0D0D" w:themeColor="text1" w:themeTint="F2"/>
        </w:rPr>
        <w:t>Al-</w:t>
      </w:r>
      <w:r w:rsidRPr="00E4782C">
        <w:rPr>
          <w:rFonts w:asciiTheme="majorBidi" w:hAnsiTheme="majorBidi" w:cstheme="majorBidi"/>
          <w:i/>
          <w:iCs/>
          <w:color w:val="0D0D0D" w:themeColor="text1" w:themeTint="F2"/>
        </w:rPr>
        <w:t>Mustansiriyah</w:t>
      </w:r>
      <w:r w:rsidRPr="00E4782C">
        <w:rPr>
          <w:rFonts w:asciiTheme="majorBidi" w:hAnsiTheme="majorBidi" w:cstheme="majorBidi"/>
          <w:i/>
          <w:iCs/>
          <w:color w:val="0D0D0D" w:themeColor="text1" w:themeTint="F2"/>
        </w:rPr>
        <w:t xml:space="preserve"> J. Sci</w:t>
      </w:r>
      <w:r w:rsidRPr="00E4782C">
        <w:rPr>
          <w:rFonts w:asciiTheme="majorBidi" w:hAnsiTheme="majorBidi" w:cstheme="majorBidi"/>
          <w:color w:val="0D0D0D" w:themeColor="text1" w:themeTint="F2"/>
        </w:rPr>
        <w:t xml:space="preserve">, </w:t>
      </w:r>
      <w:r w:rsidRPr="00E4782C">
        <w:rPr>
          <w:rFonts w:asciiTheme="majorBidi" w:hAnsiTheme="majorBidi" w:cstheme="majorBidi"/>
          <w:b/>
          <w:bCs/>
          <w:color w:val="0D0D0D" w:themeColor="text1" w:themeTint="F2"/>
        </w:rPr>
        <w:t>2011</w:t>
      </w:r>
      <w:r w:rsidRPr="00E4782C">
        <w:rPr>
          <w:rFonts w:asciiTheme="majorBidi" w:hAnsiTheme="majorBidi" w:cstheme="majorBidi"/>
          <w:color w:val="0D0D0D" w:themeColor="text1" w:themeTint="F2"/>
        </w:rPr>
        <w:t>, 22.5: 192-200</w:t>
      </w:r>
      <w:r w:rsidRPr="00E4782C">
        <w:rPr>
          <w:rFonts w:asciiTheme="majorBidi" w:hAnsiTheme="majorBidi" w:cstheme="majorBidi"/>
          <w:color w:val="0D0D0D" w:themeColor="text1" w:themeTint="F2"/>
        </w:rPr>
        <w:t>.</w:t>
      </w:r>
    </w:p>
    <w:p w:rsidR="008244B1" w:rsidRPr="00E4782C" w:rsidP="00191CA7" w14:paraId="6F98C440" w14:textId="1DC8D0C0">
      <w:pPr>
        <w:pStyle w:val="Biont71References"/>
        <w:rPr>
          <w:rFonts w:asciiTheme="majorBidi" w:hAnsiTheme="majorBidi" w:cstheme="majorBidi"/>
          <w:color w:val="0D0D0D" w:themeColor="text1" w:themeTint="F2"/>
        </w:rPr>
      </w:pPr>
      <w:r w:rsidRPr="00E4782C">
        <w:rPr>
          <w:rFonts w:asciiTheme="majorBidi" w:hAnsiTheme="majorBidi" w:cstheme="majorBidi"/>
          <w:color w:val="0D0D0D" w:themeColor="text1" w:themeTint="F2"/>
        </w:rPr>
        <w:t>Fayed</w:t>
      </w:r>
      <w:r w:rsidRPr="00E4782C" w:rsidR="00191CA7">
        <w:rPr>
          <w:rFonts w:asciiTheme="majorBidi" w:hAnsiTheme="majorBidi" w:cstheme="majorBidi"/>
          <w:color w:val="0D0D0D" w:themeColor="text1" w:themeTint="F2"/>
        </w:rPr>
        <w:t xml:space="preserve">, A.; Ramadan, H. O.; Hassan, S. A.; Hussein, M. A.; </w:t>
      </w:r>
      <w:r w:rsidRPr="00E4782C" w:rsidR="00191CA7">
        <w:rPr>
          <w:rFonts w:asciiTheme="majorBidi" w:hAnsiTheme="majorBidi" w:cstheme="majorBidi"/>
          <w:color w:val="0D0D0D" w:themeColor="text1" w:themeTint="F2"/>
        </w:rPr>
        <w:t>Roshdy</w:t>
      </w:r>
      <w:r w:rsidRPr="00E4782C" w:rsidR="00191CA7">
        <w:rPr>
          <w:rFonts w:asciiTheme="majorBidi" w:hAnsiTheme="majorBidi" w:cstheme="majorBidi"/>
          <w:color w:val="0D0D0D" w:themeColor="text1" w:themeTint="F2"/>
        </w:rPr>
        <w:t>, T. Thioredoxin1 Gene Modulates Bcl2/p53/NF-KB Signaling Pathways in Strawberry Extract/Paracetamol-treated Rat Model of Acute Liver Injury. </w:t>
      </w:r>
      <w:r w:rsidRPr="00E4782C" w:rsidR="00191CA7">
        <w:rPr>
          <w:rFonts w:asciiTheme="majorBidi" w:hAnsiTheme="majorBidi" w:cstheme="majorBidi"/>
          <w:i/>
          <w:iCs/>
          <w:color w:val="0D0D0D" w:themeColor="text1" w:themeTint="F2"/>
        </w:rPr>
        <w:t>Biomedical and Pharmacology Journal</w:t>
      </w:r>
      <w:r w:rsidRPr="00E4782C" w:rsidR="00191CA7">
        <w:rPr>
          <w:rFonts w:asciiTheme="majorBidi" w:hAnsiTheme="majorBidi" w:cstheme="majorBidi"/>
          <w:color w:val="0D0D0D" w:themeColor="text1" w:themeTint="F2"/>
        </w:rPr>
        <w:t xml:space="preserve">, </w:t>
      </w:r>
      <w:r w:rsidRPr="00E4782C" w:rsidR="00191CA7">
        <w:rPr>
          <w:rFonts w:asciiTheme="majorBidi" w:hAnsiTheme="majorBidi" w:cstheme="majorBidi"/>
          <w:b/>
          <w:bCs/>
          <w:color w:val="0D0D0D" w:themeColor="text1" w:themeTint="F2"/>
        </w:rPr>
        <w:t>2022</w:t>
      </w:r>
      <w:r w:rsidRPr="00E4782C" w:rsidR="00191CA7">
        <w:rPr>
          <w:rFonts w:asciiTheme="majorBidi" w:hAnsiTheme="majorBidi" w:cstheme="majorBidi"/>
          <w:color w:val="0D0D0D" w:themeColor="text1" w:themeTint="F2"/>
        </w:rPr>
        <w:t>, 15.2: 1025-1037.</w:t>
      </w:r>
    </w:p>
    <w:p w:rsidR="008244B1" w:rsidRPr="007C4659" w:rsidP="008244B1" w14:paraId="52ADBBB7" w14:textId="77777777">
      <w:pPr>
        <w:pStyle w:val="Biont17abstract"/>
        <w:rPr>
          <w:rFonts w:asciiTheme="majorBidi" w:hAnsiTheme="majorBidi" w:cstheme="majorBidi"/>
          <w:color w:val="0D0D0D" w:themeColor="text1" w:themeTint="F2"/>
        </w:rPr>
      </w:pPr>
    </w:p>
    <w:p w:rsidR="00F46F77" w:rsidRPr="007C4659" w:rsidP="00BD13D2" w14:paraId="1E9CC33D" w14:textId="1D018995">
      <w:pPr>
        <w:pStyle w:val="Biont17abstract"/>
        <w:rPr>
          <w:rFonts w:asciiTheme="majorBidi" w:hAnsiTheme="majorBidi" w:cstheme="majorBidi"/>
          <w:snapToGrid w:val="0"/>
          <w:color w:val="0D0D0D" w:themeColor="text1" w:themeTint="F2"/>
          <w:sz w:val="20"/>
        </w:rPr>
      </w:pPr>
    </w:p>
    <w:sectPr w:rsidSect="00ED7147">
      <w:headerReference w:type="even" r:id="rId13"/>
      <w:headerReference w:type="default" r:id="rId14"/>
      <w:footerReference w:type="default" r:id="rId15"/>
      <w:headerReference w:type="first" r:id="rId16"/>
      <w:footerReference w:type="first" r:id="rId17"/>
      <w:type w:val="continuous"/>
      <w:pgSz w:w="11906" w:h="16838" w:code="9"/>
      <w:pgMar w:top="1417" w:right="720" w:bottom="1077" w:left="709" w:header="284" w:footer="340" w:gutter="0"/>
      <w:pgNumType w:start="1"/>
      <w:cols w:space="425"/>
      <w:titlePg/>
      <w:bidi/>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A3542" w:rsidRPr="00623F7A" w:rsidP="00FE126B" w14:paraId="7DDB43C8" w14:textId="77777777">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A3542" w:rsidP="007D3642" w14:paraId="158B2302" w14:textId="77777777">
    <w:pPr>
      <w:pBdr>
        <w:top w:val="single" w:sz="4" w:space="0" w:color="000000"/>
      </w:pBdr>
      <w:tabs>
        <w:tab w:val="right" w:pos="8844"/>
      </w:tabs>
      <w:adjustRightInd w:val="0"/>
      <w:snapToGrid w:val="0"/>
      <w:spacing w:before="480" w:line="100" w:lineRule="exact"/>
      <w:jc w:val="left"/>
      <w:rPr>
        <w:i/>
        <w:sz w:val="16"/>
        <w:szCs w:val="16"/>
      </w:rPr>
    </w:pPr>
  </w:p>
  <w:p w:rsidR="008A3542" w:rsidRPr="00372FCD" w:rsidP="00642AFD" w14:paraId="15CAAEBD" w14:textId="1061A9E6">
    <w:pPr>
      <w:tabs>
        <w:tab w:val="right" w:pos="10466"/>
      </w:tabs>
      <w:adjustRightInd w:val="0"/>
      <w:snapToGrid w:val="0"/>
      <w:spacing w:line="240" w:lineRule="auto"/>
      <w:jc w:val="left"/>
      <w:rPr>
        <w:sz w:val="16"/>
        <w:szCs w:val="16"/>
        <w:lang w:val="fr-CH"/>
      </w:rPr>
    </w:pPr>
    <w:r w:rsidRPr="00745759">
      <w:rPr>
        <w:i/>
        <w:sz w:val="16"/>
        <w:szCs w:val="16"/>
        <w:lang w:val="es-ES"/>
      </w:rPr>
      <w:t>Bionatura</w:t>
    </w:r>
    <w:r w:rsidRPr="00745759">
      <w:rPr>
        <w:i/>
        <w:sz w:val="16"/>
        <w:szCs w:val="16"/>
        <w:lang w:val="es-ES"/>
      </w:rPr>
      <w:t xml:space="preserve"> </w:t>
    </w:r>
    <w:r w:rsidRPr="00745759">
      <w:rPr>
        <w:b/>
        <w:bCs/>
        <w:iCs/>
        <w:sz w:val="16"/>
        <w:szCs w:val="16"/>
        <w:lang w:val="es-ES"/>
      </w:rPr>
      <w:t>202</w:t>
    </w:r>
    <w:r w:rsidR="00DC6C46">
      <w:rPr>
        <w:b/>
        <w:bCs/>
        <w:iCs/>
        <w:sz w:val="16"/>
        <w:szCs w:val="16"/>
        <w:lang w:val="es-ES"/>
      </w:rPr>
      <w:t>3</w:t>
    </w:r>
    <w:r w:rsidRPr="00745759">
      <w:rPr>
        <w:bCs/>
        <w:iCs/>
        <w:sz w:val="16"/>
        <w:szCs w:val="16"/>
        <w:lang w:val="es-ES"/>
      </w:rPr>
      <w:t xml:space="preserve">, </w:t>
    </w:r>
    <w:r w:rsidR="00DC6C46">
      <w:rPr>
        <w:bCs/>
        <w:i/>
        <w:iCs/>
        <w:sz w:val="16"/>
        <w:szCs w:val="16"/>
        <w:lang w:val="es-ES"/>
      </w:rPr>
      <w:t>08</w:t>
    </w:r>
    <w:r w:rsidRPr="00745759">
      <w:rPr>
        <w:bCs/>
        <w:iCs/>
        <w:sz w:val="16"/>
        <w:szCs w:val="16"/>
        <w:lang w:val="es-ES"/>
      </w:rPr>
      <w:t xml:space="preserve">, </w:t>
    </w:r>
    <w:r w:rsidR="00DC6C46">
      <w:rPr>
        <w:bCs/>
        <w:iCs/>
        <w:sz w:val="16"/>
        <w:szCs w:val="16"/>
        <w:lang w:val="es-ES"/>
      </w:rPr>
      <w:t>2</w:t>
    </w:r>
    <w:r w:rsidRPr="00745759">
      <w:rPr>
        <w:bCs/>
        <w:iCs/>
        <w:sz w:val="16"/>
        <w:szCs w:val="16"/>
        <w:lang w:val="es-ES"/>
      </w:rPr>
      <w:t xml:space="preserve">. </w:t>
    </w:r>
    <w:r w:rsidRPr="00642AFD">
      <w:rPr>
        <w:bCs/>
        <w:iCs/>
        <w:sz w:val="16"/>
        <w:szCs w:val="16"/>
        <w:lang w:val="es-ES"/>
      </w:rPr>
      <w:t>http://dx.doi.org/10.21931/RB/xxx</w:t>
    </w:r>
    <w:r>
      <w:rPr>
        <w:sz w:val="16"/>
        <w:szCs w:val="16"/>
        <w:lang w:val="fr-CH"/>
      </w:rPr>
      <w:t xml:space="preserve">                                                          </w:t>
    </w:r>
    <w:r w:rsidRPr="00372FCD">
      <w:rPr>
        <w:sz w:val="16"/>
        <w:szCs w:val="16"/>
        <w:lang w:val="fr-CH"/>
      </w:rPr>
      <w:t>www.</w:t>
    </w:r>
    <w:r>
      <w:rPr>
        <w:sz w:val="16"/>
        <w:szCs w:val="16"/>
        <w:lang w:val="fr-CH"/>
      </w:rPr>
      <w:t>revistabionatura.com</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A3542" w:rsidP="00FE126B" w14:paraId="14EFE673" w14:textId="77777777">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A3542" w:rsidP="00366008" w14:paraId="111ACFF0" w14:textId="59BBA295">
    <w:pPr>
      <w:tabs>
        <w:tab w:val="right" w:pos="10466"/>
      </w:tabs>
      <w:adjustRightInd w:val="0"/>
      <w:snapToGrid w:val="0"/>
      <w:spacing w:line="240" w:lineRule="auto"/>
      <w:rPr>
        <w:sz w:val="16"/>
      </w:rPr>
    </w:pPr>
    <w:r>
      <w:rPr>
        <w:i/>
        <w:sz w:val="16"/>
      </w:rPr>
      <w:t>Bionatura</w:t>
    </w:r>
    <w:r>
      <w:rPr>
        <w:i/>
        <w:sz w:val="16"/>
      </w:rPr>
      <w:t xml:space="preserve">  </w:t>
    </w:r>
    <w:r w:rsidRPr="000A077C">
      <w:rPr>
        <w:b/>
        <w:sz w:val="16"/>
      </w:rPr>
      <w:t>202</w:t>
    </w:r>
    <w:r w:rsidR="00DC6C46">
      <w:rPr>
        <w:b/>
        <w:sz w:val="16"/>
      </w:rPr>
      <w:t>3</w:t>
    </w:r>
    <w:r w:rsidRPr="005F63C5">
      <w:rPr>
        <w:sz w:val="16"/>
      </w:rPr>
      <w:t xml:space="preserve">, </w:t>
    </w:r>
    <w:r w:rsidR="00DC6C46">
      <w:rPr>
        <w:i/>
        <w:sz w:val="16"/>
      </w:rPr>
      <w:t>08</w:t>
    </w:r>
    <w:r>
      <w:rPr>
        <w:sz w:val="16"/>
      </w:rPr>
      <w:t xml:space="preserve">, </w:t>
    </w:r>
    <w:r w:rsidR="00DC6C46">
      <w:rPr>
        <w:sz w:val="16"/>
      </w:rPr>
      <w:t>2.</w:t>
    </w:r>
    <w:r>
      <w:rPr>
        <w:sz w:val="16"/>
      </w:rPr>
      <w:t xml:space="preserve"> FOR PEER REVIEW</w:t>
    </w:r>
    <w:r>
      <w:rPr>
        <w:sz w:val="16"/>
      </w:rPr>
      <w:tab/>
    </w:r>
    <w:r w:rsidRPr="005D7E40">
      <w:rPr>
        <w:sz w:val="16"/>
      </w:rPr>
      <w:fldChar w:fldCharType="begin"/>
    </w:r>
    <w:r w:rsidRPr="005D7E40">
      <w:rPr>
        <w:sz w:val="16"/>
      </w:rPr>
      <w:instrText>PAGE   \* MERGEFORMAT</w:instrText>
    </w:r>
    <w:r w:rsidRPr="005D7E40">
      <w:rPr>
        <w:sz w:val="16"/>
      </w:rPr>
      <w:fldChar w:fldCharType="separate"/>
    </w:r>
    <w:r w:rsidR="00E4782C">
      <w:rPr>
        <w:sz w:val="16"/>
      </w:rPr>
      <w:t>4</w:t>
    </w:r>
    <w:r w:rsidRPr="005D7E40">
      <w:rPr>
        <w:sz w:val="16"/>
      </w:rPr>
      <w:fldChar w:fldCharType="end"/>
    </w:r>
  </w:p>
  <w:p w:rsidR="008A3542" w:rsidRPr="00A53D46" w:rsidP="007D3642" w14:paraId="4CA7EFCC" w14:textId="77777777">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10487" w:type="dxa"/>
      <w:tblCellMar>
        <w:left w:w="0" w:type="dxa"/>
        <w:right w:w="0" w:type="dxa"/>
      </w:tblCellMar>
      <w:tblLook w:val="04A0"/>
    </w:tblPr>
    <w:tblGrid>
      <w:gridCol w:w="10477"/>
      <w:gridCol w:w="6"/>
      <w:gridCol w:w="6"/>
    </w:tblGrid>
    <w:tr w14:paraId="4D47CBCF" w14:textId="77777777" w:rsidTr="00366008">
      <w:tblPrEx>
        <w:tblW w:w="10487" w:type="dxa"/>
        <w:tblCellMar>
          <w:left w:w="0" w:type="dxa"/>
          <w:right w:w="0" w:type="dxa"/>
        </w:tblCellMar>
        <w:tblLook w:val="04A0"/>
      </w:tblPrEx>
      <w:trPr>
        <w:trHeight w:val="686"/>
      </w:trPr>
      <w:tc>
        <w:tcPr>
          <w:tcW w:w="3679" w:type="dxa"/>
          <w:shd w:val="clear" w:color="auto" w:fill="auto"/>
          <w:vAlign w:val="center"/>
        </w:tcPr>
        <w:p w:rsidR="008A3542" w:rsidRPr="00E87375" w:rsidP="00366008" w14:paraId="0741733B" w14:textId="402502E7">
          <w:pPr>
            <w:pStyle w:val="Header"/>
            <w:pBdr>
              <w:bottom w:val="none" w:sz="0" w:space="0" w:color="auto"/>
            </w:pBdr>
            <w:jc w:val="left"/>
            <w:rPr>
              <w:rFonts w:eastAsia="DengXian"/>
              <w:b/>
              <w:bCs/>
            </w:rPr>
          </w:pPr>
          <w:r>
            <w:rPr>
              <w:rFonts w:eastAsia="DengXian"/>
              <w:b/>
              <w:bCs/>
              <w:lang w:val="en-GB" w:eastAsia="en-GB"/>
            </w:rPr>
            <w:drawing>
              <wp:inline distT="0" distB="0" distL="0" distR="0">
                <wp:extent cx="6652895" cy="54356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6652895" cy="543560"/>
                        </a:xfrm>
                        <a:prstGeom prst="rect">
                          <a:avLst/>
                        </a:prstGeom>
                      </pic:spPr>
                    </pic:pic>
                  </a:graphicData>
                </a:graphic>
              </wp:inline>
            </w:drawing>
          </w:r>
        </w:p>
      </w:tc>
      <w:tc>
        <w:tcPr>
          <w:tcW w:w="4535" w:type="dxa"/>
          <w:shd w:val="clear" w:color="auto" w:fill="auto"/>
          <w:vAlign w:val="center"/>
        </w:tcPr>
        <w:p w:rsidR="008A3542" w:rsidRPr="00E87375" w:rsidP="00366008" w14:paraId="74EE49BD" w14:textId="61BEBC81">
          <w:pPr>
            <w:pStyle w:val="Header"/>
            <w:pBdr>
              <w:bottom w:val="none" w:sz="0" w:space="0" w:color="auto"/>
            </w:pBdr>
            <w:rPr>
              <w:rFonts w:eastAsia="DengXian"/>
              <w:b/>
              <w:bCs/>
            </w:rPr>
          </w:pPr>
        </w:p>
      </w:tc>
      <w:tc>
        <w:tcPr>
          <w:tcW w:w="2273" w:type="dxa"/>
          <w:shd w:val="clear" w:color="auto" w:fill="auto"/>
          <w:vAlign w:val="center"/>
        </w:tcPr>
        <w:p w:rsidR="008A3542" w:rsidRPr="00E87375" w:rsidP="00366008" w14:paraId="748FD769" w14:textId="214E8E63">
          <w:pPr>
            <w:pStyle w:val="Header"/>
            <w:pBdr>
              <w:bottom w:val="none" w:sz="0" w:space="0" w:color="auto"/>
            </w:pBdr>
            <w:jc w:val="right"/>
            <w:rPr>
              <w:rFonts w:eastAsia="DengXian"/>
              <w:b/>
              <w:bCs/>
            </w:rPr>
          </w:pPr>
        </w:p>
      </w:tc>
    </w:tr>
  </w:tbl>
  <w:p w:rsidR="008A3542" w:rsidRPr="00273262" w:rsidP="007D3642" w14:paraId="566296FE" w14:textId="419A2F73">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8B468F5"/>
    <w:multiLevelType w:val="hybridMultilevel"/>
    <w:tmpl w:val="F7E250A8"/>
    <w:lvl w:ilvl="0">
      <w:start w:val="1"/>
      <w:numFmt w:val="decimal"/>
      <w:pStyle w:val="Biont71References"/>
      <w:lvlText w:val="%1."/>
      <w:lvlJc w:val="left"/>
      <w:pPr>
        <w:ind w:left="425" w:hanging="425"/>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E0C6F5D"/>
    <w:multiLevelType w:val="hybridMultilevel"/>
    <w:tmpl w:val="8BFE0D56"/>
    <w:lvl w:ilvl="0">
      <w:start w:val="1"/>
      <w:numFmt w:val="bullet"/>
      <w:pStyle w:val="Biont38bullet"/>
      <w:lvlText w:val=""/>
      <w:lvlJc w:val="left"/>
      <w:pPr>
        <w:ind w:left="3033" w:hanging="425"/>
      </w:pPr>
      <w:rPr>
        <w:rFonts w:ascii="Symbol" w:hAnsi="Symbol" w:hint="default"/>
      </w:rPr>
    </w:lvl>
    <w:lvl w:ilvl="1" w:tentative="1">
      <w:start w:val="1"/>
      <w:numFmt w:val="bullet"/>
      <w:lvlText w:val="o"/>
      <w:lvlJc w:val="left"/>
      <w:pPr>
        <w:ind w:left="4048" w:hanging="360"/>
      </w:pPr>
      <w:rPr>
        <w:rFonts w:ascii="Courier New" w:hAnsi="Courier New" w:cs="Courier New" w:hint="default"/>
      </w:rPr>
    </w:lvl>
    <w:lvl w:ilvl="2" w:tentative="1">
      <w:start w:val="1"/>
      <w:numFmt w:val="bullet"/>
      <w:lvlText w:val=""/>
      <w:lvlJc w:val="left"/>
      <w:pPr>
        <w:ind w:left="4768" w:hanging="360"/>
      </w:pPr>
      <w:rPr>
        <w:rFonts w:ascii="Wingdings" w:hAnsi="Wingdings" w:hint="default"/>
      </w:rPr>
    </w:lvl>
    <w:lvl w:ilvl="3" w:tentative="1">
      <w:start w:val="1"/>
      <w:numFmt w:val="bullet"/>
      <w:lvlText w:val=""/>
      <w:lvlJc w:val="left"/>
      <w:pPr>
        <w:ind w:left="5488" w:hanging="360"/>
      </w:pPr>
      <w:rPr>
        <w:rFonts w:ascii="Symbol" w:hAnsi="Symbol" w:hint="default"/>
      </w:rPr>
    </w:lvl>
    <w:lvl w:ilvl="4" w:tentative="1">
      <w:start w:val="1"/>
      <w:numFmt w:val="bullet"/>
      <w:lvlText w:val="o"/>
      <w:lvlJc w:val="left"/>
      <w:pPr>
        <w:ind w:left="6208" w:hanging="360"/>
      </w:pPr>
      <w:rPr>
        <w:rFonts w:ascii="Courier New" w:hAnsi="Courier New" w:cs="Courier New" w:hint="default"/>
      </w:rPr>
    </w:lvl>
    <w:lvl w:ilvl="5" w:tentative="1">
      <w:start w:val="1"/>
      <w:numFmt w:val="bullet"/>
      <w:lvlText w:val=""/>
      <w:lvlJc w:val="left"/>
      <w:pPr>
        <w:ind w:left="6928" w:hanging="360"/>
      </w:pPr>
      <w:rPr>
        <w:rFonts w:ascii="Wingdings" w:hAnsi="Wingdings" w:hint="default"/>
      </w:rPr>
    </w:lvl>
    <w:lvl w:ilvl="6" w:tentative="1">
      <w:start w:val="1"/>
      <w:numFmt w:val="bullet"/>
      <w:lvlText w:val=""/>
      <w:lvlJc w:val="left"/>
      <w:pPr>
        <w:ind w:left="7648" w:hanging="360"/>
      </w:pPr>
      <w:rPr>
        <w:rFonts w:ascii="Symbol" w:hAnsi="Symbol" w:hint="default"/>
      </w:rPr>
    </w:lvl>
    <w:lvl w:ilvl="7" w:tentative="1">
      <w:start w:val="1"/>
      <w:numFmt w:val="bullet"/>
      <w:lvlText w:val="o"/>
      <w:lvlJc w:val="left"/>
      <w:pPr>
        <w:ind w:left="8368" w:hanging="360"/>
      </w:pPr>
      <w:rPr>
        <w:rFonts w:ascii="Courier New" w:hAnsi="Courier New" w:cs="Courier New" w:hint="default"/>
      </w:rPr>
    </w:lvl>
    <w:lvl w:ilvl="8" w:tentative="1">
      <w:start w:val="1"/>
      <w:numFmt w:val="bullet"/>
      <w:lvlText w:val=""/>
      <w:lvlJc w:val="left"/>
      <w:pPr>
        <w:ind w:left="9088" w:hanging="360"/>
      </w:pPr>
      <w:rPr>
        <w:rFonts w:ascii="Wingdings" w:hAnsi="Wingdings" w:hint="default"/>
      </w:rPr>
    </w:lvl>
  </w:abstractNum>
  <w:abstractNum w:abstractNumId="2">
    <w:nsid w:val="250A245F"/>
    <w:multiLevelType w:val="hybridMultilevel"/>
    <w:tmpl w:val="29E20A30"/>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5113C39"/>
    <w:multiLevelType w:val="hybridMultilevel"/>
    <w:tmpl w:val="AC5E252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805051C"/>
    <w:multiLevelType w:val="hybridMultilevel"/>
    <w:tmpl w:val="D6480D34"/>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5">
    <w:nsid w:val="282E1BA0"/>
    <w:multiLevelType w:val="hybridMultilevel"/>
    <w:tmpl w:val="EF3C6AC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37133CA"/>
    <w:multiLevelType w:val="hybridMultilevel"/>
    <w:tmpl w:val="1DF23C34"/>
    <w:lvl w:ilvl="0">
      <w:start w:val="1"/>
      <w:numFmt w:val="decimal"/>
      <w:lvlText w:val="%1."/>
      <w:lvlJc w:val="left"/>
      <w:pPr>
        <w:ind w:left="3960" w:hanging="360"/>
      </w:pPr>
    </w:lvl>
    <w:lvl w:ilvl="1" w:tentative="1">
      <w:start w:val="1"/>
      <w:numFmt w:val="lowerLetter"/>
      <w:lvlText w:val="%2."/>
      <w:lvlJc w:val="left"/>
      <w:pPr>
        <w:ind w:left="4680" w:hanging="360"/>
      </w:pPr>
    </w:lvl>
    <w:lvl w:ilvl="2" w:tentative="1">
      <w:start w:val="1"/>
      <w:numFmt w:val="lowerRoman"/>
      <w:lvlText w:val="%3."/>
      <w:lvlJc w:val="right"/>
      <w:pPr>
        <w:ind w:left="5400" w:hanging="180"/>
      </w:pPr>
    </w:lvl>
    <w:lvl w:ilvl="3" w:tentative="1">
      <w:start w:val="1"/>
      <w:numFmt w:val="decimal"/>
      <w:lvlText w:val="%4."/>
      <w:lvlJc w:val="left"/>
      <w:pPr>
        <w:ind w:left="6120" w:hanging="360"/>
      </w:pPr>
    </w:lvl>
    <w:lvl w:ilvl="4" w:tentative="1">
      <w:start w:val="1"/>
      <w:numFmt w:val="lowerLetter"/>
      <w:lvlText w:val="%5."/>
      <w:lvlJc w:val="left"/>
      <w:pPr>
        <w:ind w:left="6840" w:hanging="360"/>
      </w:pPr>
    </w:lvl>
    <w:lvl w:ilvl="5" w:tentative="1">
      <w:start w:val="1"/>
      <w:numFmt w:val="lowerRoman"/>
      <w:lvlText w:val="%6."/>
      <w:lvlJc w:val="right"/>
      <w:pPr>
        <w:ind w:left="7560" w:hanging="180"/>
      </w:pPr>
    </w:lvl>
    <w:lvl w:ilvl="6" w:tentative="1">
      <w:start w:val="1"/>
      <w:numFmt w:val="decimal"/>
      <w:lvlText w:val="%7."/>
      <w:lvlJc w:val="left"/>
      <w:pPr>
        <w:ind w:left="8280" w:hanging="360"/>
      </w:pPr>
    </w:lvl>
    <w:lvl w:ilvl="7" w:tentative="1">
      <w:start w:val="1"/>
      <w:numFmt w:val="lowerLetter"/>
      <w:lvlText w:val="%8."/>
      <w:lvlJc w:val="left"/>
      <w:pPr>
        <w:ind w:left="9000" w:hanging="360"/>
      </w:pPr>
    </w:lvl>
    <w:lvl w:ilvl="8" w:tentative="1">
      <w:start w:val="1"/>
      <w:numFmt w:val="lowerRoman"/>
      <w:lvlText w:val="%9."/>
      <w:lvlJc w:val="right"/>
      <w:pPr>
        <w:ind w:left="9720" w:hanging="180"/>
      </w:pPr>
    </w:lvl>
  </w:abstractNum>
  <w:abstractNum w:abstractNumId="7">
    <w:nsid w:val="369A6535"/>
    <w:multiLevelType w:val="hybridMultilevel"/>
    <w:tmpl w:val="3CB68362"/>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8">
    <w:nsid w:val="41F21053"/>
    <w:multiLevelType w:val="hybridMultilevel"/>
    <w:tmpl w:val="3E9404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2E2771B"/>
    <w:multiLevelType w:val="hybridMultilevel"/>
    <w:tmpl w:val="A2A06AAC"/>
    <w:lvl w:ilvl="0">
      <w:start w:val="1"/>
      <w:numFmt w:val="decimal"/>
      <w:pStyle w:val="Biont71FootNotes"/>
      <w:lvlText w:val="%1"/>
      <w:lvlJc w:val="left"/>
      <w:pPr>
        <w:ind w:left="425" w:hanging="425"/>
      </w:pPr>
      <w:rPr>
        <w:rFonts w:hint="eastAsia"/>
        <w:caps w:val="0"/>
        <w:strike w:val="0"/>
        <w:dstrike w:val="0"/>
        <w:vanish w:val="0"/>
        <w:sz w:val="18"/>
        <w:vertAlign w:val="superscrip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4075B53"/>
    <w:multiLevelType w:val="hybridMultilevel"/>
    <w:tmpl w:val="A0DCA02E"/>
    <w:lvl w:ilvl="0">
      <w:start w:val="1"/>
      <w:numFmt w:val="decimal"/>
      <w:pStyle w:val="Biont37itemize"/>
      <w:lvlText w:val="%1."/>
      <w:lvlJc w:val="left"/>
      <w:pPr>
        <w:ind w:left="3033" w:hanging="425"/>
      </w:pPr>
    </w:lvl>
    <w:lvl w:ilvl="1" w:tentative="1">
      <w:start w:val="1"/>
      <w:numFmt w:val="lowerLetter"/>
      <w:lvlText w:val="%2."/>
      <w:lvlJc w:val="left"/>
      <w:pPr>
        <w:ind w:left="3691" w:hanging="360"/>
      </w:pPr>
    </w:lvl>
    <w:lvl w:ilvl="2" w:tentative="1">
      <w:start w:val="1"/>
      <w:numFmt w:val="lowerRoman"/>
      <w:lvlText w:val="%3."/>
      <w:lvlJc w:val="right"/>
      <w:pPr>
        <w:ind w:left="4411" w:hanging="180"/>
      </w:pPr>
    </w:lvl>
    <w:lvl w:ilvl="3" w:tentative="1">
      <w:start w:val="1"/>
      <w:numFmt w:val="decimal"/>
      <w:lvlText w:val="%4."/>
      <w:lvlJc w:val="left"/>
      <w:pPr>
        <w:ind w:left="5131" w:hanging="360"/>
      </w:pPr>
    </w:lvl>
    <w:lvl w:ilvl="4" w:tentative="1">
      <w:start w:val="1"/>
      <w:numFmt w:val="lowerLetter"/>
      <w:lvlText w:val="%5."/>
      <w:lvlJc w:val="left"/>
      <w:pPr>
        <w:ind w:left="5851" w:hanging="360"/>
      </w:pPr>
    </w:lvl>
    <w:lvl w:ilvl="5" w:tentative="1">
      <w:start w:val="1"/>
      <w:numFmt w:val="lowerRoman"/>
      <w:lvlText w:val="%6."/>
      <w:lvlJc w:val="right"/>
      <w:pPr>
        <w:ind w:left="6571" w:hanging="180"/>
      </w:pPr>
    </w:lvl>
    <w:lvl w:ilvl="6" w:tentative="1">
      <w:start w:val="1"/>
      <w:numFmt w:val="decimal"/>
      <w:lvlText w:val="%7."/>
      <w:lvlJc w:val="left"/>
      <w:pPr>
        <w:ind w:left="7291" w:hanging="360"/>
      </w:pPr>
    </w:lvl>
    <w:lvl w:ilvl="7" w:tentative="1">
      <w:start w:val="1"/>
      <w:numFmt w:val="lowerLetter"/>
      <w:lvlText w:val="%8."/>
      <w:lvlJc w:val="left"/>
      <w:pPr>
        <w:ind w:left="8011" w:hanging="360"/>
      </w:pPr>
    </w:lvl>
    <w:lvl w:ilvl="8" w:tentative="1">
      <w:start w:val="1"/>
      <w:numFmt w:val="lowerRoman"/>
      <w:lvlText w:val="%9."/>
      <w:lvlJc w:val="right"/>
      <w:pPr>
        <w:ind w:left="8731" w:hanging="180"/>
      </w:pPr>
    </w:lvl>
  </w:abstractNum>
  <w:abstractNum w:abstractNumId="11">
    <w:nsid w:val="706D5736"/>
    <w:multiLevelType w:val="hybridMultilevel"/>
    <w:tmpl w:val="E3640C5C"/>
    <w:lvl w:ilvl="0">
      <w:start w:val="1"/>
      <w:numFmt w:val="decimal"/>
      <w:lvlText w:val="%1."/>
      <w:lvlJc w:val="left"/>
      <w:pPr>
        <w:ind w:left="1429" w:hanging="360"/>
      </w:pPr>
      <w:rPr>
        <w:rFonts w:hint="eastAsia"/>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num w:numId="1" w16cid:durableId="2063403515">
    <w:abstractNumId w:val="4"/>
  </w:num>
  <w:num w:numId="2" w16cid:durableId="199244695">
    <w:abstractNumId w:val="7"/>
  </w:num>
  <w:num w:numId="3" w16cid:durableId="1351031811">
    <w:abstractNumId w:val="2"/>
  </w:num>
  <w:num w:numId="4" w16cid:durableId="19639977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8935721">
    <w:abstractNumId w:val="5"/>
  </w:num>
  <w:num w:numId="6" w16cid:durableId="701635910">
    <w:abstractNumId w:val="10"/>
  </w:num>
  <w:num w:numId="7" w16cid:durableId="2139258768">
    <w:abstractNumId w:val="1"/>
  </w:num>
  <w:num w:numId="8" w16cid:durableId="1997297508">
    <w:abstractNumId w:val="10"/>
  </w:num>
  <w:num w:numId="9" w16cid:durableId="11037559">
    <w:abstractNumId w:val="1"/>
  </w:num>
  <w:num w:numId="10" w16cid:durableId="1625041739">
    <w:abstractNumId w:val="10"/>
  </w:num>
  <w:num w:numId="11" w16cid:durableId="1056464531">
    <w:abstractNumId w:val="1"/>
  </w:num>
  <w:num w:numId="12" w16cid:durableId="1393893681">
    <w:abstractNumId w:val="11"/>
  </w:num>
  <w:num w:numId="13" w16cid:durableId="1927959338">
    <w:abstractNumId w:val="10"/>
  </w:num>
  <w:num w:numId="14" w16cid:durableId="1225601494">
    <w:abstractNumId w:val="1"/>
  </w:num>
  <w:num w:numId="15" w16cid:durableId="1356691326">
    <w:abstractNumId w:val="0"/>
  </w:num>
  <w:num w:numId="16" w16cid:durableId="1208181545">
    <w:abstractNumId w:val="9"/>
  </w:num>
  <w:num w:numId="17" w16cid:durableId="602806971">
    <w:abstractNumId w:val="8"/>
  </w:num>
  <w:num w:numId="18" w16cid:durableId="1194735325">
    <w:abstractNumId w:val="6"/>
  </w:num>
  <w:num w:numId="19" w16cid:durableId="7333591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10"/>
  <w:bordersDoNotSurroundHeader/>
  <w:bordersDoNotSurroundFooter/>
  <w:proofState w:spelling="clean" w:grammar="clean"/>
  <w:attachedTemplate r:id="rId1"/>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510"/>
  <w:autoHyphenation/>
  <w:hyphenationZone w:val="425"/>
  <w:drawingGridHorizontalSpacing w:val="10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745759"/>
    <w:rsid w:val="0000032D"/>
    <w:rsid w:val="00027081"/>
    <w:rsid w:val="0004039F"/>
    <w:rsid w:val="00060CE0"/>
    <w:rsid w:val="00061CCA"/>
    <w:rsid w:val="000923BD"/>
    <w:rsid w:val="00094333"/>
    <w:rsid w:val="000A077C"/>
    <w:rsid w:val="000B572D"/>
    <w:rsid w:val="0010564E"/>
    <w:rsid w:val="00130465"/>
    <w:rsid w:val="00135B7B"/>
    <w:rsid w:val="00141B78"/>
    <w:rsid w:val="00166B8F"/>
    <w:rsid w:val="0017210D"/>
    <w:rsid w:val="00174B7D"/>
    <w:rsid w:val="0017723A"/>
    <w:rsid w:val="00186784"/>
    <w:rsid w:val="00191CA7"/>
    <w:rsid w:val="0019523B"/>
    <w:rsid w:val="00197184"/>
    <w:rsid w:val="001A7302"/>
    <w:rsid w:val="001B6703"/>
    <w:rsid w:val="001E2AEB"/>
    <w:rsid w:val="001E57EA"/>
    <w:rsid w:val="001F0D9A"/>
    <w:rsid w:val="00201703"/>
    <w:rsid w:val="00233690"/>
    <w:rsid w:val="0025486E"/>
    <w:rsid w:val="00254DB1"/>
    <w:rsid w:val="0026028B"/>
    <w:rsid w:val="00260670"/>
    <w:rsid w:val="00272513"/>
    <w:rsid w:val="00273262"/>
    <w:rsid w:val="00284F8A"/>
    <w:rsid w:val="002914EF"/>
    <w:rsid w:val="002975D2"/>
    <w:rsid w:val="002A6FDB"/>
    <w:rsid w:val="002E527E"/>
    <w:rsid w:val="003252CE"/>
    <w:rsid w:val="00326141"/>
    <w:rsid w:val="003578D2"/>
    <w:rsid w:val="00366008"/>
    <w:rsid w:val="0037273A"/>
    <w:rsid w:val="00372FCD"/>
    <w:rsid w:val="003827A8"/>
    <w:rsid w:val="003B2CEE"/>
    <w:rsid w:val="003B4638"/>
    <w:rsid w:val="003C0F18"/>
    <w:rsid w:val="003C6D35"/>
    <w:rsid w:val="003D0EFF"/>
    <w:rsid w:val="003D1260"/>
    <w:rsid w:val="003D3350"/>
    <w:rsid w:val="003D3C4E"/>
    <w:rsid w:val="00401340"/>
    <w:rsid w:val="00401D30"/>
    <w:rsid w:val="00402273"/>
    <w:rsid w:val="00434768"/>
    <w:rsid w:val="00444E19"/>
    <w:rsid w:val="00450EB0"/>
    <w:rsid w:val="00466F83"/>
    <w:rsid w:val="00476336"/>
    <w:rsid w:val="004C1C48"/>
    <w:rsid w:val="004E14AD"/>
    <w:rsid w:val="004E19B0"/>
    <w:rsid w:val="004E499D"/>
    <w:rsid w:val="004E4D6B"/>
    <w:rsid w:val="004F2805"/>
    <w:rsid w:val="004F30F2"/>
    <w:rsid w:val="004F373E"/>
    <w:rsid w:val="004F611E"/>
    <w:rsid w:val="00514F11"/>
    <w:rsid w:val="00515213"/>
    <w:rsid w:val="0051795B"/>
    <w:rsid w:val="00540E44"/>
    <w:rsid w:val="0058760E"/>
    <w:rsid w:val="00591535"/>
    <w:rsid w:val="00594AA7"/>
    <w:rsid w:val="00596E86"/>
    <w:rsid w:val="005B529D"/>
    <w:rsid w:val="005C224E"/>
    <w:rsid w:val="005C3BEA"/>
    <w:rsid w:val="005D7E40"/>
    <w:rsid w:val="005F63C5"/>
    <w:rsid w:val="005F6A3E"/>
    <w:rsid w:val="00601F3F"/>
    <w:rsid w:val="00612243"/>
    <w:rsid w:val="00623F7A"/>
    <w:rsid w:val="00635915"/>
    <w:rsid w:val="00642AFD"/>
    <w:rsid w:val="00647927"/>
    <w:rsid w:val="006603BE"/>
    <w:rsid w:val="00663E0A"/>
    <w:rsid w:val="00676B84"/>
    <w:rsid w:val="00683967"/>
    <w:rsid w:val="00690989"/>
    <w:rsid w:val="00692393"/>
    <w:rsid w:val="00697FDB"/>
    <w:rsid w:val="006A095B"/>
    <w:rsid w:val="006A784C"/>
    <w:rsid w:val="006F1FFE"/>
    <w:rsid w:val="0070365B"/>
    <w:rsid w:val="007229D1"/>
    <w:rsid w:val="00745759"/>
    <w:rsid w:val="0076110D"/>
    <w:rsid w:val="00761D95"/>
    <w:rsid w:val="00765F28"/>
    <w:rsid w:val="0077232E"/>
    <w:rsid w:val="007839C9"/>
    <w:rsid w:val="00785205"/>
    <w:rsid w:val="007C4659"/>
    <w:rsid w:val="007D3642"/>
    <w:rsid w:val="007E5CE0"/>
    <w:rsid w:val="007F0A98"/>
    <w:rsid w:val="007F3E78"/>
    <w:rsid w:val="007F4E01"/>
    <w:rsid w:val="007F797E"/>
    <w:rsid w:val="0080382B"/>
    <w:rsid w:val="00806ABC"/>
    <w:rsid w:val="0080700D"/>
    <w:rsid w:val="0080740E"/>
    <w:rsid w:val="008078D9"/>
    <w:rsid w:val="00810A2C"/>
    <w:rsid w:val="008244B1"/>
    <w:rsid w:val="00824509"/>
    <w:rsid w:val="008431B7"/>
    <w:rsid w:val="008443CF"/>
    <w:rsid w:val="00875C10"/>
    <w:rsid w:val="00875C37"/>
    <w:rsid w:val="00875FA4"/>
    <w:rsid w:val="008A0977"/>
    <w:rsid w:val="008A312C"/>
    <w:rsid w:val="008A3542"/>
    <w:rsid w:val="008C444D"/>
    <w:rsid w:val="008E0015"/>
    <w:rsid w:val="008F1639"/>
    <w:rsid w:val="00961463"/>
    <w:rsid w:val="0096345F"/>
    <w:rsid w:val="009703F5"/>
    <w:rsid w:val="00974329"/>
    <w:rsid w:val="00975115"/>
    <w:rsid w:val="009863DB"/>
    <w:rsid w:val="009B59FA"/>
    <w:rsid w:val="009C7EC6"/>
    <w:rsid w:val="009D2A3D"/>
    <w:rsid w:val="009D6BAC"/>
    <w:rsid w:val="009E0A1F"/>
    <w:rsid w:val="009E309E"/>
    <w:rsid w:val="009E3C6B"/>
    <w:rsid w:val="009F70E6"/>
    <w:rsid w:val="00A150ED"/>
    <w:rsid w:val="00A20AED"/>
    <w:rsid w:val="00A400BB"/>
    <w:rsid w:val="00A465EE"/>
    <w:rsid w:val="00A5347D"/>
    <w:rsid w:val="00A53A95"/>
    <w:rsid w:val="00A53D46"/>
    <w:rsid w:val="00A678A3"/>
    <w:rsid w:val="00A83F87"/>
    <w:rsid w:val="00A944FF"/>
    <w:rsid w:val="00A946D8"/>
    <w:rsid w:val="00AB0688"/>
    <w:rsid w:val="00AB1813"/>
    <w:rsid w:val="00AB577E"/>
    <w:rsid w:val="00AD55AC"/>
    <w:rsid w:val="00AF4A29"/>
    <w:rsid w:val="00AF5F8C"/>
    <w:rsid w:val="00AF679C"/>
    <w:rsid w:val="00B031CE"/>
    <w:rsid w:val="00B10155"/>
    <w:rsid w:val="00B239D8"/>
    <w:rsid w:val="00B24C1A"/>
    <w:rsid w:val="00B26FB9"/>
    <w:rsid w:val="00B272EB"/>
    <w:rsid w:val="00B3485A"/>
    <w:rsid w:val="00B40C50"/>
    <w:rsid w:val="00B415BD"/>
    <w:rsid w:val="00B530A6"/>
    <w:rsid w:val="00B70FE2"/>
    <w:rsid w:val="00B73E24"/>
    <w:rsid w:val="00B836BC"/>
    <w:rsid w:val="00B83F8B"/>
    <w:rsid w:val="00B872AB"/>
    <w:rsid w:val="00B91867"/>
    <w:rsid w:val="00B93B82"/>
    <w:rsid w:val="00B96E4C"/>
    <w:rsid w:val="00BD13D2"/>
    <w:rsid w:val="00BE1869"/>
    <w:rsid w:val="00BE3F2F"/>
    <w:rsid w:val="00BF3A0D"/>
    <w:rsid w:val="00C00645"/>
    <w:rsid w:val="00C02E39"/>
    <w:rsid w:val="00C173CF"/>
    <w:rsid w:val="00C200DE"/>
    <w:rsid w:val="00C24143"/>
    <w:rsid w:val="00C24BAA"/>
    <w:rsid w:val="00C35138"/>
    <w:rsid w:val="00C36C5E"/>
    <w:rsid w:val="00C46756"/>
    <w:rsid w:val="00C53BA4"/>
    <w:rsid w:val="00C62865"/>
    <w:rsid w:val="00C73B10"/>
    <w:rsid w:val="00C8587E"/>
    <w:rsid w:val="00CA4566"/>
    <w:rsid w:val="00CA65AA"/>
    <w:rsid w:val="00CB1162"/>
    <w:rsid w:val="00CC51F1"/>
    <w:rsid w:val="00CD3576"/>
    <w:rsid w:val="00CE0105"/>
    <w:rsid w:val="00CE6572"/>
    <w:rsid w:val="00CF785F"/>
    <w:rsid w:val="00D14B9A"/>
    <w:rsid w:val="00D15DD7"/>
    <w:rsid w:val="00D20895"/>
    <w:rsid w:val="00D25AE8"/>
    <w:rsid w:val="00D40D15"/>
    <w:rsid w:val="00D52273"/>
    <w:rsid w:val="00D8341A"/>
    <w:rsid w:val="00D968F4"/>
    <w:rsid w:val="00DA17B5"/>
    <w:rsid w:val="00DA28DD"/>
    <w:rsid w:val="00DC6C46"/>
    <w:rsid w:val="00DC6E39"/>
    <w:rsid w:val="00DD76A8"/>
    <w:rsid w:val="00DF2BD4"/>
    <w:rsid w:val="00E104EC"/>
    <w:rsid w:val="00E14019"/>
    <w:rsid w:val="00E2775C"/>
    <w:rsid w:val="00E4782C"/>
    <w:rsid w:val="00E62E60"/>
    <w:rsid w:val="00E677EB"/>
    <w:rsid w:val="00E865C5"/>
    <w:rsid w:val="00E87375"/>
    <w:rsid w:val="00ED1BA2"/>
    <w:rsid w:val="00ED7147"/>
    <w:rsid w:val="00EE6653"/>
    <w:rsid w:val="00F07511"/>
    <w:rsid w:val="00F2011F"/>
    <w:rsid w:val="00F2293C"/>
    <w:rsid w:val="00F23205"/>
    <w:rsid w:val="00F318B0"/>
    <w:rsid w:val="00F46F77"/>
    <w:rsid w:val="00F5492A"/>
    <w:rsid w:val="00F81686"/>
    <w:rsid w:val="00F85D63"/>
    <w:rsid w:val="00FC383A"/>
    <w:rsid w:val="00FD25F8"/>
    <w:rsid w:val="00FE126B"/>
    <w:rsid w:val="00FE53FC"/>
  </w:rsids>
  <w:docVars>
    <w:docVar w:name="__Grammarly_42___1" w:val="H4sIAAAAAAAEAKtWcslP9kxRslIyNDYytzA2NzcxMjOyNDc0MrFU0lEKTi0uzszPAykwqwUA+G4PvCwAAAA="/>
    <w:docVar w:name="__Grammarly_42____i" w:val="H4sIAAAAAAAEAKtWckksSQxILCpxzi/NK1GyMqwFAAEhoTITAAAA"/>
  </w:docVar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4:docId w14:val="5774D6DD"/>
  <w15:docId w15:val="{1D2E0DEE-CB2F-426F-958C-B9D1AE0B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F77"/>
    <w:pPr>
      <w:spacing w:line="260" w:lineRule="atLeast"/>
      <w:jc w:val="both"/>
    </w:pPr>
    <w:rPr>
      <w:rFonts w:ascii="Palatino Linotype" w:hAnsi="Palatino Linotype"/>
      <w:color w:val="000000"/>
    </w:rPr>
  </w:style>
  <w:style w:type="paragraph" w:styleId="Heading4">
    <w:name w:val="heading 4"/>
    <w:basedOn w:val="Normal"/>
    <w:link w:val="Heading4Char"/>
    <w:uiPriority w:val="9"/>
    <w:qFormat/>
    <w:rsid w:val="004F2805"/>
    <w:pPr>
      <w:spacing w:before="100" w:beforeAutospacing="1" w:after="100" w:afterAutospacing="1" w:line="240" w:lineRule="auto"/>
      <w:jc w:val="left"/>
      <w:outlineLvl w:val="3"/>
    </w:pPr>
    <w:rPr>
      <w:rFonts w:ascii="Times New Roman" w:eastAsia="Times New Roman" w:hAnsi="Times New Roman"/>
      <w:b/>
      <w:bCs/>
      <w:color w:val="aut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nt11articletype">
    <w:name w:val="Biont_1.1_article_type"/>
    <w:next w:val="Normal"/>
    <w:qFormat/>
    <w:rsid w:val="00F46F77"/>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Biont12title">
    <w:name w:val="Biont_1.2_title"/>
    <w:next w:val="Normal"/>
    <w:qFormat/>
    <w:rsid w:val="00F46F77"/>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Biont13authornames">
    <w:name w:val="Biont_1.3_authornames"/>
    <w:next w:val="Normal"/>
    <w:qFormat/>
    <w:rsid w:val="00F46F77"/>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Biont14history">
    <w:name w:val="Biont_1.4_history"/>
    <w:basedOn w:val="Normal"/>
    <w:next w:val="Normal"/>
    <w:qFormat/>
    <w:rsid w:val="00F46F77"/>
    <w:pPr>
      <w:adjustRightInd w:val="0"/>
      <w:snapToGrid w:val="0"/>
      <w:spacing w:line="240" w:lineRule="atLeast"/>
      <w:ind w:right="113"/>
      <w:jc w:val="left"/>
    </w:pPr>
    <w:rPr>
      <w:rFonts w:eastAsia="Times New Roman"/>
      <w:sz w:val="14"/>
      <w:lang w:eastAsia="de-DE" w:bidi="en-US"/>
    </w:rPr>
  </w:style>
  <w:style w:type="paragraph" w:customStyle="1" w:styleId="Biont16affiliation">
    <w:name w:val="Biont_1.6_affiliation"/>
    <w:qFormat/>
    <w:rsid w:val="00F46F77"/>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Biont17abstract">
    <w:name w:val="Biont_1.7_abstract"/>
    <w:next w:val="Normal"/>
    <w:qFormat/>
    <w:rsid w:val="00F46F77"/>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Biont18keywords">
    <w:name w:val="Biont_1.8_keywords"/>
    <w:next w:val="Normal"/>
    <w:qFormat/>
    <w:rsid w:val="00F46F77"/>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Biont19line">
    <w:name w:val="Biont_1.9_line"/>
    <w:qFormat/>
    <w:rsid w:val="00F46F77"/>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B415BD"/>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0" w:right="0" w:firstLine="0" w:leftChars="0" w:rightChars="0" w:firstLineChars="0"/>
        <w:contextualSpacing w:val="0"/>
        <w:jc w:val="center"/>
        <w:outlineLvl w:val="9"/>
        <w:mirrorIndents w:val="0"/>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F46F77"/>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46F77"/>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F46F77"/>
    <w:rPr>
      <w:rFonts w:ascii="Palatino Linotype" w:hAnsi="Palatino Linotype"/>
      <w:noProof/>
      <w:color w:val="000000"/>
      <w:szCs w:val="18"/>
    </w:rPr>
  </w:style>
  <w:style w:type="paragraph" w:styleId="Header">
    <w:name w:val="header"/>
    <w:basedOn w:val="Normal"/>
    <w:link w:val="HeaderChar"/>
    <w:uiPriority w:val="99"/>
    <w:rsid w:val="00F46F77"/>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F46F77"/>
    <w:rPr>
      <w:rFonts w:ascii="Palatino Linotype" w:hAnsi="Palatino Linotype"/>
      <w:noProof/>
      <w:color w:val="000000"/>
      <w:szCs w:val="18"/>
    </w:rPr>
  </w:style>
  <w:style w:type="paragraph" w:customStyle="1" w:styleId="Biontheaderjournallogo">
    <w:name w:val="Biont_header_journal_logo"/>
    <w:qFormat/>
    <w:rsid w:val="00F46F77"/>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Biont32textnoindent">
    <w:name w:val="Biont_3.2_text_no_indent"/>
    <w:basedOn w:val="Biont31text"/>
    <w:qFormat/>
    <w:rsid w:val="00F46F77"/>
    <w:pPr>
      <w:ind w:firstLine="0"/>
    </w:pPr>
  </w:style>
  <w:style w:type="paragraph" w:customStyle="1" w:styleId="Biont31text">
    <w:name w:val="Biont_3.1_text"/>
    <w:qFormat/>
    <w:rsid w:val="004E499D"/>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Biont33textspaceafter">
    <w:name w:val="Biont_3.3_text_space_after"/>
    <w:qFormat/>
    <w:rsid w:val="00F46F77"/>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Biont35textbeforelist">
    <w:name w:val="Biont_3.5_text_before_list"/>
    <w:qFormat/>
    <w:rsid w:val="00F46F77"/>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Biont36textafterlist">
    <w:name w:val="Biont_3.6_text_after_list"/>
    <w:qFormat/>
    <w:rsid w:val="00F46F77"/>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Biont37itemize">
    <w:name w:val="Biont_3.7_itemize"/>
    <w:qFormat/>
    <w:rsid w:val="00F46F77"/>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Biont38bullet">
    <w:name w:val="Biont_3.8_bullet"/>
    <w:qFormat/>
    <w:rsid w:val="00F46F77"/>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Biont39equation">
    <w:name w:val="Biont_3.9_equation"/>
    <w:qFormat/>
    <w:rsid w:val="00F46F77"/>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Biont3aequationnumber">
    <w:name w:val="Biont_3.a_equation_number"/>
    <w:qFormat/>
    <w:rsid w:val="00F46F77"/>
    <w:pPr>
      <w:spacing w:before="120" w:after="120"/>
      <w:jc w:val="right"/>
    </w:pPr>
    <w:rPr>
      <w:rFonts w:ascii="Palatino Linotype" w:eastAsia="Times New Roman" w:hAnsi="Palatino Linotype"/>
      <w:snapToGrid w:val="0"/>
      <w:color w:val="000000"/>
      <w:szCs w:val="22"/>
      <w:lang w:eastAsia="de-DE" w:bidi="en-US"/>
    </w:rPr>
  </w:style>
  <w:style w:type="paragraph" w:customStyle="1" w:styleId="Biont41tablecaption">
    <w:name w:val="Biont_4.1_table_caption"/>
    <w:qFormat/>
    <w:rsid w:val="00F46F77"/>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Biont42tablebody">
    <w:name w:val="Biont_4.2_table_body"/>
    <w:qFormat/>
    <w:rsid w:val="003252CE"/>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Biont43tablefooter">
    <w:name w:val="Biont_4.3_table_footer"/>
    <w:next w:val="Biont31text"/>
    <w:qFormat/>
    <w:rsid w:val="00F46F77"/>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Biont51figurecaption">
    <w:name w:val="Biont_5.1_figure_caption"/>
    <w:qFormat/>
    <w:rsid w:val="00F46F77"/>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Biont52figure">
    <w:name w:val="Biont_5.2_figure"/>
    <w:qFormat/>
    <w:rsid w:val="00F46F77"/>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Biont23heading3">
    <w:name w:val="Biont_2.3_heading3"/>
    <w:qFormat/>
    <w:rsid w:val="00F46F77"/>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Biont21heading1">
    <w:name w:val="Biont_2.1_heading1"/>
    <w:qFormat/>
    <w:rsid w:val="00F46F77"/>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Biont22heading2">
    <w:name w:val="Biont_2.2_heading2"/>
    <w:qFormat/>
    <w:rsid w:val="00F46F77"/>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Biont71References">
    <w:name w:val="Biont_7.1_References"/>
    <w:qFormat/>
    <w:rsid w:val="00B836BC"/>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F46F77"/>
    <w:rPr>
      <w:rFonts w:cs="Tahoma"/>
      <w:szCs w:val="18"/>
    </w:rPr>
  </w:style>
  <w:style w:type="character" w:customStyle="1" w:styleId="BalloonTextChar">
    <w:name w:val="Balloon Text Char"/>
    <w:link w:val="BalloonText"/>
    <w:uiPriority w:val="99"/>
    <w:rsid w:val="00F46F77"/>
    <w:rPr>
      <w:rFonts w:ascii="Palatino Linotype" w:hAnsi="Palatino Linotype" w:cs="Tahoma"/>
      <w:noProof/>
      <w:color w:val="000000"/>
      <w:szCs w:val="18"/>
    </w:rPr>
  </w:style>
  <w:style w:type="character" w:styleId="LineNumber">
    <w:name w:val="line number"/>
    <w:uiPriority w:val="99"/>
    <w:rsid w:val="00272513"/>
    <w:rPr>
      <w:rFonts w:ascii="Palatino Linotype" w:hAnsi="Palatino Linotype"/>
      <w:sz w:val="16"/>
    </w:rPr>
  </w:style>
  <w:style w:type="table" w:customStyle="1" w:styleId="MDPI41threelinetable">
    <w:name w:val="MDPI_4.1_three_line_table"/>
    <w:basedOn w:val="TableNormal"/>
    <w:uiPriority w:val="99"/>
    <w:rsid w:val="00F46F77"/>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rsid w:val="00F46F77"/>
    <w:rPr>
      <w:color w:val="0000FF"/>
      <w:u w:val="single"/>
    </w:rPr>
  </w:style>
  <w:style w:type="character" w:customStyle="1" w:styleId="UnresolvedMention1">
    <w:name w:val="Unresolved Mention1"/>
    <w:uiPriority w:val="99"/>
    <w:semiHidden/>
    <w:unhideWhenUsed/>
    <w:rsid w:val="009E3C6B"/>
    <w:rPr>
      <w:color w:val="605E5C"/>
      <w:shd w:val="clear" w:color="auto" w:fill="E1DFDD"/>
    </w:rPr>
  </w:style>
  <w:style w:type="table" w:customStyle="1" w:styleId="PlainTable41">
    <w:name w:val="Plain Table 41"/>
    <w:basedOn w:val="TableNormal"/>
    <w:uiPriority w:val="44"/>
    <w:rsid w:val="005F63C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Biont34textspacebefore">
    <w:name w:val="Biont_3.4_text_space_before"/>
    <w:qFormat/>
    <w:rsid w:val="00F46F77"/>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Biont81theorem">
    <w:name w:val="Biont_8.1_theorem"/>
    <w:qFormat/>
    <w:rsid w:val="00F46F77"/>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Biont82proof">
    <w:name w:val="Biont_8.2_proof"/>
    <w:qFormat/>
    <w:rsid w:val="00F46F77"/>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Biont61Citation">
    <w:name w:val="Biont_6.1_Citation"/>
    <w:qFormat/>
    <w:rsid w:val="00F46F77"/>
    <w:pPr>
      <w:adjustRightInd w:val="0"/>
      <w:snapToGrid w:val="0"/>
      <w:spacing w:line="240" w:lineRule="atLeast"/>
      <w:ind w:right="113"/>
    </w:pPr>
    <w:rPr>
      <w:rFonts w:ascii="Palatino Linotype" w:hAnsi="Palatino Linotype" w:cs="Cordia New"/>
      <w:sz w:val="14"/>
      <w:szCs w:val="22"/>
    </w:rPr>
  </w:style>
  <w:style w:type="paragraph" w:customStyle="1" w:styleId="Biont62BackMatter">
    <w:name w:val="Biont_6.2_BackMatter"/>
    <w:qFormat/>
    <w:rsid w:val="00F46F77"/>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Biont63Notes">
    <w:name w:val="Biont_6.3_Notes"/>
    <w:qFormat/>
    <w:rsid w:val="00F46F77"/>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Biont15academiceditor">
    <w:name w:val="Biont_1.5_academic_editor"/>
    <w:qFormat/>
    <w:rsid w:val="00F46F77"/>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Biont19classification">
    <w:name w:val="Biont_1.9_classification"/>
    <w:qFormat/>
    <w:rsid w:val="00F46F77"/>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Biont411onetablecaption">
    <w:name w:val="Biont_4.1.1_one_table_caption"/>
    <w:qFormat/>
    <w:rsid w:val="00F46F77"/>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Biont511onefigurecaption">
    <w:name w:val="Biont_5.1.1_one_figure_caption"/>
    <w:qFormat/>
    <w:rsid w:val="00F46F77"/>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Biont72Copyright">
    <w:name w:val="Biont_7.2_Copyright"/>
    <w:qFormat/>
    <w:rsid w:val="00F46F77"/>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F46F77"/>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BiontequationFram">
    <w:name w:val="Biont_equationFram"/>
    <w:qFormat/>
    <w:rsid w:val="00F46F77"/>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Biontfooter">
    <w:name w:val="Biont_footer"/>
    <w:qFormat/>
    <w:rsid w:val="00F46F77"/>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Biontfooterfirstpage">
    <w:name w:val="Biont_footer_firstpage"/>
    <w:qFormat/>
    <w:rsid w:val="00F46F77"/>
    <w:pPr>
      <w:tabs>
        <w:tab w:val="right" w:pos="8845"/>
      </w:tabs>
      <w:spacing w:line="160" w:lineRule="exact"/>
    </w:pPr>
    <w:rPr>
      <w:rFonts w:ascii="Palatino Linotype" w:eastAsia="Times New Roman" w:hAnsi="Palatino Linotype"/>
      <w:color w:val="000000"/>
      <w:sz w:val="16"/>
      <w:lang w:eastAsia="de-DE"/>
    </w:rPr>
  </w:style>
  <w:style w:type="paragraph" w:customStyle="1" w:styleId="Biontheader">
    <w:name w:val="Biont_header"/>
    <w:qFormat/>
    <w:rsid w:val="00F46F77"/>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F46F77"/>
    <w:pPr>
      <w:spacing w:after="240"/>
    </w:pPr>
    <w:rPr>
      <w:rFonts w:ascii="Palatino Linotype" w:eastAsia="Times New Roman" w:hAnsi="Palatino Linotype"/>
      <w:snapToGrid w:val="0"/>
      <w:color w:val="000000"/>
      <w:sz w:val="18"/>
      <w:lang w:eastAsia="de-DE" w:bidi="en-US"/>
    </w:rPr>
  </w:style>
  <w:style w:type="paragraph" w:customStyle="1" w:styleId="Biontheadermdpilogo">
    <w:name w:val="Biont_header_mdpi_logo"/>
    <w:qFormat/>
    <w:rsid w:val="00F46F77"/>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F46F77"/>
    <w:rPr>
      <w:rFonts w:ascii="Palatino Linotype" w:hAnsi="Palatino Linotype"/>
      <w:color w:val="000000"/>
      <w:lang w:val="en-CA" w:eastAsia="en-US"/>
    </w:rPr>
    <w:tblPr>
      <w:tblCellMar>
        <w:left w:w="0" w:type="dxa"/>
        <w:right w:w="0" w:type="dxa"/>
      </w:tblCellMar>
    </w:tblPr>
  </w:style>
  <w:style w:type="paragraph" w:customStyle="1" w:styleId="Bionttext">
    <w:name w:val="Biont_text"/>
    <w:qFormat/>
    <w:rsid w:val="00F46F77"/>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Bionttitle">
    <w:name w:val="Biont_title"/>
    <w:qFormat/>
    <w:rsid w:val="00F46F77"/>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F46F77"/>
  </w:style>
  <w:style w:type="paragraph" w:styleId="Bibliography">
    <w:name w:val="Bibliography"/>
    <w:basedOn w:val="Normal"/>
    <w:next w:val="Normal"/>
    <w:uiPriority w:val="37"/>
    <w:semiHidden/>
    <w:unhideWhenUsed/>
    <w:rsid w:val="00F46F77"/>
  </w:style>
  <w:style w:type="paragraph" w:styleId="BodyText">
    <w:name w:val="Body Text"/>
    <w:link w:val="BodyTextChar"/>
    <w:rsid w:val="00F46F77"/>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F46F77"/>
    <w:rPr>
      <w:rFonts w:ascii="Palatino Linotype" w:hAnsi="Palatino Linotype"/>
      <w:color w:val="000000"/>
      <w:sz w:val="24"/>
      <w:lang w:eastAsia="de-DE"/>
    </w:rPr>
  </w:style>
  <w:style w:type="character" w:styleId="CommentReference">
    <w:name w:val="annotation reference"/>
    <w:rsid w:val="00F46F77"/>
    <w:rPr>
      <w:sz w:val="21"/>
      <w:szCs w:val="21"/>
    </w:rPr>
  </w:style>
  <w:style w:type="paragraph" w:styleId="CommentText">
    <w:name w:val="annotation text"/>
    <w:basedOn w:val="Normal"/>
    <w:link w:val="CommentTextChar"/>
    <w:rsid w:val="00F46F77"/>
  </w:style>
  <w:style w:type="character" w:customStyle="1" w:styleId="CommentTextChar">
    <w:name w:val="Comment Text Char"/>
    <w:link w:val="CommentText"/>
    <w:rsid w:val="00F46F77"/>
    <w:rPr>
      <w:rFonts w:ascii="Palatino Linotype" w:hAnsi="Palatino Linotype"/>
      <w:noProof/>
      <w:color w:val="000000"/>
    </w:rPr>
  </w:style>
  <w:style w:type="paragraph" w:styleId="CommentSubject">
    <w:name w:val="annotation subject"/>
    <w:basedOn w:val="CommentText"/>
    <w:next w:val="CommentText"/>
    <w:link w:val="CommentSubjectChar"/>
    <w:rsid w:val="00F46F77"/>
    <w:rPr>
      <w:b/>
      <w:bCs/>
    </w:rPr>
  </w:style>
  <w:style w:type="character" w:customStyle="1" w:styleId="CommentSubjectChar">
    <w:name w:val="Comment Subject Char"/>
    <w:link w:val="CommentSubject"/>
    <w:rsid w:val="00F46F77"/>
    <w:rPr>
      <w:rFonts w:ascii="Palatino Linotype" w:hAnsi="Palatino Linotype"/>
      <w:b/>
      <w:bCs/>
      <w:noProof/>
      <w:color w:val="000000"/>
    </w:rPr>
  </w:style>
  <w:style w:type="character" w:styleId="EndnoteReference">
    <w:name w:val="endnote reference"/>
    <w:rsid w:val="00F46F77"/>
    <w:rPr>
      <w:vertAlign w:val="superscript"/>
    </w:rPr>
  </w:style>
  <w:style w:type="paragraph" w:styleId="EndnoteText">
    <w:name w:val="endnote text"/>
    <w:basedOn w:val="Normal"/>
    <w:link w:val="EndnoteTextChar"/>
    <w:semiHidden/>
    <w:unhideWhenUsed/>
    <w:rsid w:val="00F46F77"/>
    <w:pPr>
      <w:spacing w:line="240" w:lineRule="auto"/>
    </w:pPr>
  </w:style>
  <w:style w:type="character" w:customStyle="1" w:styleId="EndnoteTextChar">
    <w:name w:val="Endnote Text Char"/>
    <w:link w:val="EndnoteText"/>
    <w:semiHidden/>
    <w:rsid w:val="00F46F77"/>
    <w:rPr>
      <w:rFonts w:ascii="Palatino Linotype" w:hAnsi="Palatino Linotype"/>
      <w:noProof/>
      <w:color w:val="000000"/>
    </w:rPr>
  </w:style>
  <w:style w:type="character" w:styleId="FollowedHyperlink">
    <w:name w:val="FollowedHyperlink"/>
    <w:rsid w:val="00F46F77"/>
    <w:rPr>
      <w:color w:val="954F72"/>
      <w:u w:val="single"/>
    </w:rPr>
  </w:style>
  <w:style w:type="paragraph" w:styleId="FootnoteText">
    <w:name w:val="footnote text"/>
    <w:basedOn w:val="Normal"/>
    <w:link w:val="FootnoteTextChar"/>
    <w:semiHidden/>
    <w:unhideWhenUsed/>
    <w:rsid w:val="00F46F77"/>
    <w:pPr>
      <w:spacing w:line="240" w:lineRule="auto"/>
    </w:pPr>
  </w:style>
  <w:style w:type="character" w:customStyle="1" w:styleId="FootnoteTextChar">
    <w:name w:val="Footnote Text Char"/>
    <w:link w:val="FootnoteText"/>
    <w:semiHidden/>
    <w:rsid w:val="00F46F77"/>
    <w:rPr>
      <w:rFonts w:ascii="Palatino Linotype" w:hAnsi="Palatino Linotype"/>
      <w:noProof/>
      <w:color w:val="000000"/>
    </w:rPr>
  </w:style>
  <w:style w:type="paragraph" w:styleId="NormalWeb">
    <w:name w:val="Normal (Web)"/>
    <w:basedOn w:val="Normal"/>
    <w:uiPriority w:val="99"/>
    <w:rsid w:val="00F46F77"/>
    <w:rPr>
      <w:szCs w:val="24"/>
    </w:rPr>
  </w:style>
  <w:style w:type="paragraph" w:customStyle="1" w:styleId="MsoFootnoteText">
    <w:name w:val="MsoFootnoteText"/>
    <w:basedOn w:val="NormalWeb"/>
    <w:qFormat/>
    <w:rsid w:val="00F46F77"/>
    <w:rPr>
      <w:rFonts w:ascii="Times New Roman" w:hAnsi="Times New Roman"/>
    </w:rPr>
  </w:style>
  <w:style w:type="character" w:styleId="PageNumber">
    <w:name w:val="page number"/>
    <w:rsid w:val="00F46F77"/>
  </w:style>
  <w:style w:type="character" w:styleId="PlaceholderText">
    <w:name w:val="Placeholder Text"/>
    <w:uiPriority w:val="99"/>
    <w:semiHidden/>
    <w:rsid w:val="00F46F77"/>
    <w:rPr>
      <w:color w:val="808080"/>
    </w:rPr>
  </w:style>
  <w:style w:type="paragraph" w:customStyle="1" w:styleId="Biont71FootNotes">
    <w:name w:val="Biont_7.1_FootNotes"/>
    <w:qFormat/>
    <w:rsid w:val="00540E44"/>
    <w:pPr>
      <w:numPr>
        <w:numId w:val="16"/>
      </w:numPr>
      <w:adjustRightInd w:val="0"/>
      <w:snapToGrid w:val="0"/>
      <w:spacing w:line="228" w:lineRule="auto"/>
      <w:jc w:val="both"/>
    </w:pPr>
    <w:rPr>
      <w:rFonts w:ascii="Palatino Linotype" w:hAnsi="Palatino Linotype" w:eastAsiaTheme="minorEastAsia"/>
      <w:noProof/>
      <w:color w:val="000000"/>
      <w:sz w:val="18"/>
    </w:rPr>
  </w:style>
  <w:style w:type="table" w:customStyle="1" w:styleId="GridTable1Light-Accent11">
    <w:name w:val="Grid Table 1 Light - Accent 11"/>
    <w:basedOn w:val="TableNormal"/>
    <w:uiPriority w:val="46"/>
    <w:rsid w:val="00745759"/>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4F2805"/>
    <w:rPr>
      <w:rFonts w:ascii="Times New Roman" w:eastAsia="Times New Roman" w:hAnsi="Times New Roman"/>
      <w:b/>
      <w:bCs/>
      <w:sz w:val="24"/>
      <w:szCs w:val="24"/>
      <w:lang w:eastAsia="en-US"/>
    </w:rPr>
  </w:style>
  <w:style w:type="paragraph" w:styleId="ListParagraph">
    <w:name w:val="List Paragraph"/>
    <w:basedOn w:val="Normal"/>
    <w:uiPriority w:val="34"/>
    <w:qFormat/>
    <w:rsid w:val="004F2805"/>
    <w:pPr>
      <w:spacing w:after="200" w:line="276" w:lineRule="auto"/>
      <w:ind w:left="720"/>
      <w:contextualSpacing/>
      <w:jc w:val="left"/>
    </w:pPr>
    <w:rPr>
      <w:rFonts w:asciiTheme="minorHAnsi" w:eastAsiaTheme="minorHAnsi" w:hAnsiTheme="minorHAnsi" w:cstheme="minorBidi"/>
      <w:color w:val="auto"/>
      <w:sz w:val="22"/>
      <w:szCs w:val="22"/>
      <w:lang w:eastAsia="en-US"/>
    </w:rPr>
  </w:style>
  <w:style w:type="character" w:customStyle="1" w:styleId="journalname">
    <w:name w:val="journalname"/>
    <w:basedOn w:val="DefaultParagraphFont"/>
    <w:rsid w:val="004F2805"/>
  </w:style>
  <w:style w:type="character" w:customStyle="1" w:styleId="year">
    <w:name w:val="year"/>
    <w:basedOn w:val="DefaultParagraphFont"/>
    <w:rsid w:val="004F2805"/>
  </w:style>
  <w:style w:type="character" w:customStyle="1" w:styleId="volume">
    <w:name w:val="volume"/>
    <w:basedOn w:val="DefaultParagraphFont"/>
    <w:rsid w:val="004F2805"/>
  </w:style>
  <w:style w:type="character" w:customStyle="1" w:styleId="issue">
    <w:name w:val="issue"/>
    <w:basedOn w:val="DefaultParagraphFont"/>
    <w:rsid w:val="004F2805"/>
  </w:style>
  <w:style w:type="character" w:customStyle="1" w:styleId="page">
    <w:name w:val="page"/>
    <w:basedOn w:val="DefaultParagraphFont"/>
    <w:rsid w:val="004F2805"/>
  </w:style>
  <w:style w:type="table" w:styleId="LightGridAccent1">
    <w:name w:val="Light Grid Accent 1"/>
    <w:basedOn w:val="TableNormal"/>
    <w:uiPriority w:val="62"/>
    <w:rsid w:val="004F2805"/>
    <w:rPr>
      <w:rFonts w:asciiTheme="minorHAnsi" w:eastAsiaTheme="minorHAnsi" w:hAnsiTheme="minorHAnsi" w:cstheme="minorBidi"/>
      <w:sz w:val="22"/>
      <w:szCs w:val="22"/>
      <w:lang w:eastAsia="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6"/>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doi.org/10.3109/13880209.2016.1145701" TargetMode="External" /><Relationship Id="rId11" Type="http://schemas.openxmlformats.org/officeDocument/2006/relationships/hyperlink" Target="https://doi.org/10.1080/13880209.2020.1764058" TargetMode="External" /><Relationship Id="rId12" Type="http://schemas.openxmlformats.org/officeDocument/2006/relationships/hyperlink" Target="https://doi.org/10.1111/jfbc.13606" TargetMode="Externa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header" Target="header3.xml" /><Relationship Id="rId17" Type="http://schemas.openxmlformats.org/officeDocument/2006/relationships/footer" Target="footer2.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chart" Target="charts/chart1.xml" /><Relationship Id="rId6" Type="http://schemas.openxmlformats.org/officeDocument/2006/relationships/chart" Target="charts/chart2.xml" /><Relationship Id="rId7" Type="http://schemas.openxmlformats.org/officeDocument/2006/relationships/chart" Target="charts/chart3.xml" /><Relationship Id="rId8" Type="http://schemas.openxmlformats.org/officeDocument/2006/relationships/chart" Target="charts/chart4.xml" /><Relationship Id="rId9" Type="http://schemas.openxmlformats.org/officeDocument/2006/relationships/hyperlink" Target="https://doi.org/10.1039/C8RA02178C"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Clinical%20Biotec\Downloads\pharmaceutics-template%20(1).dot" TargetMode="External" /></Relationships>
</file>

<file path=word/charts/_rels/chart1.xml.rels><?xml version="1.0" encoding="utf-8" standalone="yes"?><Relationships xmlns="http://schemas.openxmlformats.org/package/2006/relationships"><Relationship Id="rId1" Type="http://schemas.openxmlformats.org/officeDocument/2006/relationships/package" Target="../embeddings/Microsoft_Excel_Worksheet1.xlsx" /><Relationship Id="rId2" Type="http://schemas.openxmlformats.org/officeDocument/2006/relationships/themeOverride" Target="../theme/themeOverride1.xml" /></Relationships>
</file>

<file path=word/charts/_rels/chart2.xml.rels><?xml version="1.0" encoding="utf-8" standalone="yes"?><Relationships xmlns="http://schemas.openxmlformats.org/package/2006/relationships"><Relationship Id="rId1" Type="http://schemas.openxmlformats.org/officeDocument/2006/relationships/package" Target="../embeddings/Microsoft_Excel_Worksheet2.xlsx" /><Relationship Id="rId2" Type="http://schemas.openxmlformats.org/officeDocument/2006/relationships/themeOverride" Target="../theme/themeOverride2.xml" /></Relationships>
</file>

<file path=word/charts/_rels/chart3.xml.rels><?xml version="1.0" encoding="utf-8" standalone="yes"?><Relationships xmlns="http://schemas.openxmlformats.org/package/2006/relationships"><Relationship Id="rId1" Type="http://schemas.openxmlformats.org/officeDocument/2006/relationships/oleObject" Target="../embeddings/OleObject1.bin" /><Relationship Id="rId2" Type="http://schemas.openxmlformats.org/officeDocument/2006/relationships/themeOverride" Target="../theme/themeOverride3.xml" /></Relationships>
</file>

<file path=word/charts/_rels/chart4.xml.rels><?xml version="1.0" encoding="utf-8" standalone="yes"?><Relationships xmlns="http://schemas.openxmlformats.org/package/2006/relationships"><Relationship Id="rId1" Type="http://schemas.openxmlformats.org/officeDocument/2006/relationships/package" Target="../embeddings/Microsoft_Excel_Worksheet3.xlsx" /><Relationship Id="rId2" Type="http://schemas.openxmlformats.org/officeDocument/2006/relationships/themeOverride" Target="../theme/themeOverride4.xml"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sz="1000"/>
            </a:pPr>
            <a:r>
              <a:rPr lang="en-US" sz="1000"/>
              <a:t>M D A </a:t>
            </a:r>
          </a:p>
        </c:rich>
      </c:tx>
      <c:layout>
        <c:manualLayout>
          <c:xMode val="edge"/>
          <c:yMode val="edge"/>
          <c:x val="0.44432407732472934"/>
          <c:y val="0"/>
        </c:manualLayout>
      </c:layout>
      <c:overlay val="0"/>
      <c:spPr>
        <a:noFill/>
        <a:ln>
          <a:noFill/>
        </a:ln>
        <a:effectLst/>
      </c:spPr>
    </c:title>
    <c:autoTitleDeleted val="0"/>
    <c:view3D>
      <c:rotX val="15"/>
      <c:rotY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415067379221031"/>
          <c:y val="0.032563836018586471"/>
          <c:w val="0.84584932620778974"/>
          <c:h val="0.79986803325561961"/>
        </c:manualLayout>
      </c:layout>
      <c:bar3DChart>
        <c:barDir val="col"/>
        <c:grouping val="clustered"/>
        <c:varyColors val="0"/>
        <c:ser>
          <c:idx val="0"/>
          <c:order val="0"/>
          <c:spPr>
            <a:solidFill>
              <a:schemeClr val="accent1"/>
            </a:solidFill>
            <a:ln>
              <a:noFill/>
            </a:ln>
            <a:effectLst/>
            <a:sp3d/>
          </c:spPr>
          <c:invertIfNegative val="0"/>
          <c:dPt>
            <c:idx val="1"/>
            <c:invertIfNegative val="0"/>
            <c:bubble3D val="0"/>
            <c:spPr>
              <a:solidFill>
                <a:srgbClr val="C00000"/>
              </a:solidFill>
              <a:ln>
                <a:noFill/>
              </a:ln>
              <a:effectLst/>
              <a:sp3d/>
            </c:spPr>
            <c:extLst>
              <c:ext xmlns:c16="http://schemas.microsoft.com/office/drawing/2014/chart" uri="{C3380CC4-5D6E-409C-BE32-E72D297353CC}">
                <c16:uniqueId val="{00000002-20C4-485B-ACF2-838E1F5D5106}"/>
              </c:ext>
            </c:extLst>
          </c:dPt>
          <c:dPt>
            <c:idx val="2"/>
            <c:invertIfNegative val="0"/>
            <c:bubble3D val="0"/>
            <c:spPr>
              <a:solidFill>
                <a:srgbClr val="00B050"/>
              </a:solidFill>
              <a:ln>
                <a:noFill/>
              </a:ln>
              <a:effectLst/>
              <a:sp3d/>
            </c:spPr>
            <c:extLst>
              <c:ext xmlns:c16="http://schemas.microsoft.com/office/drawing/2014/chart" uri="{C3380CC4-5D6E-409C-BE32-E72D297353CC}">
                <c16:uniqueId val="{00000001-20C4-485B-ACF2-838E1F5D5106}"/>
              </c:ext>
            </c:extLst>
          </c:dPt>
          <c:dLbls>
            <c:dLbl>
              <c:idx val="0"/>
              <c:layout>
                <c:manualLayout>
                  <c:x val="0.011111111111111112"/>
                  <c:y val="-0.031600320793234181"/>
                </c:manualLayout>
              </c:layout>
              <c:tx>
                <c:rich>
                  <a:bodyPr/>
                  <a:lstStyle/>
                  <a:p>
                    <a:r>
                      <a:rPr lang="en-US"/>
                      <a:t>a</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20C4-485B-ACF2-838E1F5D5106}"/>
                </c:ext>
              </c:extLst>
            </c:dLbl>
            <c:dLbl>
              <c:idx val="1"/>
              <c:layout>
                <c:manualLayout>
                  <c:x val="0.0083333333333333332"/>
                  <c:y val="-0.03182997958588514"/>
                </c:manualLayout>
              </c:layout>
              <c:tx>
                <c:rich>
                  <a:bodyPr/>
                  <a:lstStyle/>
                  <a:p>
                    <a:r>
                      <a:rPr lang="en-US"/>
                      <a:t>a</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20C4-485B-ACF2-838E1F5D5106}"/>
                </c:ext>
              </c:extLst>
            </c:dLbl>
            <c:dLbl>
              <c:idx val="2"/>
              <c:layout>
                <c:manualLayout>
                  <c:x val="0.0083333333333332309"/>
                  <c:y val="-0.040781204432779238"/>
                </c:manualLayout>
              </c:layout>
              <c:tx>
                <c:rich>
                  <a:bodyPr/>
                  <a:lstStyle/>
                  <a:p>
                    <a:r>
                      <a:rPr lang="en-US"/>
                      <a:t>a</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20C4-485B-ACF2-838E1F5D5106}"/>
                </c:ext>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ورقة2!$I$149:$K$149</c:f>
              <c:strCache>
                <c:ptCount val="3"/>
                <c:pt idx="0">
                  <c:v>A</c:v>
                </c:pt>
                <c:pt idx="1">
                  <c:v>B</c:v>
                </c:pt>
                <c:pt idx="2">
                  <c:v>C</c:v>
                </c:pt>
              </c:strCache>
            </c:strRef>
          </c:cat>
          <c:val>
            <c:numRef>
              <c:f>ورقة2!$I$150:$K$150</c:f>
              <c:numCache>
                <c:formatCode>General</c:formatCode>
                <c:ptCount val="3"/>
                <c:pt idx="0">
                  <c:v>0.573</c:v>
                </c:pt>
                <c:pt idx="1">
                  <c:v>0.669</c:v>
                </c:pt>
                <c:pt idx="2">
                  <c:v>0.702</c:v>
                </c:pt>
              </c:numCache>
            </c:numRef>
          </c:val>
          <c:extLst>
            <c:ext xmlns:c16="http://schemas.microsoft.com/office/drawing/2014/chart" uri="{C3380CC4-5D6E-409C-BE32-E72D297353CC}">
              <c16:uniqueId val="{00000000-20C4-485B-ACF2-838E1F5D5106}"/>
            </c:ext>
          </c:extLst>
        </c:ser>
        <c:dLbls>
          <c:showLegendKey val="0"/>
          <c:showVal val="1"/>
          <c:showCatName val="0"/>
          <c:showSerName val="0"/>
          <c:showPercent val="0"/>
          <c:showBubbleSize val="0"/>
        </c:dLbls>
        <c:gapWidth val="150"/>
        <c:shape val="box"/>
        <c:axId val="139772672"/>
        <c:axId val="192577920"/>
        <c:axId val="0"/>
      </c:bar3DChart>
      <c:catAx>
        <c:axId val="139772672"/>
        <c:scaling>
          <c:orientation val="minMax"/>
        </c:scaling>
        <c:delete val="0"/>
        <c:axPos val="b"/>
        <c:numFmt formatCode="General" sourceLinked="1"/>
        <c:majorTickMark val="none"/>
        <c:minorTickMark val="none"/>
        <c:tickLblPos val="nextTo"/>
        <c:spPr>
          <a:noFill/>
          <a:ln>
            <a:noFill/>
          </a:ln>
          <a:effectLst/>
        </c:spPr>
        <c:txPr>
          <a:bodyPr rot="-60000000" vert="horz"/>
          <a:lstStyle/>
          <a:p>
            <a:pPr>
              <a:defRPr/>
            </a:pPr>
            <a:endParaRPr lang="en-US"/>
          </a:p>
        </c:txPr>
        <c:crossAx val="192577920"/>
        <c:crosses val="autoZero"/>
        <c:auto val="1"/>
        <c:lblAlgn val="ctr"/>
        <c:lblOffset val="100"/>
        <c:noMultiLvlLbl val="0"/>
      </c:catAx>
      <c:valAx>
        <c:axId val="192577920"/>
        <c:scaling>
          <c:orientation val="minMax"/>
        </c:scaling>
        <c:delete val="0"/>
        <c:axPos val="l"/>
        <c:majorGridlines>
          <c:spPr>
            <a:ln w="9525">
              <a:solidFill>
                <a:schemeClr val="tx1">
                  <a:lumMod val="15000"/>
                  <a:lumOff val="85000"/>
                </a:schemeClr>
              </a:solidFill>
              <a:round/>
            </a:ln>
            <a:effectLst/>
          </c:spPr>
        </c:majorGridlines>
        <c:title>
          <c:tx>
            <c:rich>
              <a:bodyPr rot="-5400000" vert="horz"/>
              <a:lstStyle/>
              <a:p>
                <a:pPr>
                  <a:defRPr/>
                </a:pPr>
                <a:r>
                  <a:rPr lang="en-US"/>
                  <a:t>MDA</a:t>
                </a:r>
              </a:p>
            </c:rich>
          </c:tx>
          <c:layout>
            <c:manualLayout>
              <c:xMode val="edge"/>
              <c:yMode val="edge"/>
              <c:x val="0.0024142523585825625"/>
              <c:y val="0.40726326439421479"/>
            </c:manualLayout>
          </c:layout>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en-US"/>
          </a:p>
        </c:txPr>
        <c:crossAx val="139772672"/>
        <c:crosses val="autoZero"/>
        <c:crossBetween val="between"/>
      </c:valAx>
      <c:dTable>
        <c:showHorzBorder val="1"/>
        <c:showVertBorder val="1"/>
        <c:showOutline val="1"/>
        <c:showKeys val="1"/>
        <c:spPr>
          <a:noFill/>
          <a:ln w="9525">
            <a:solidFill>
              <a:schemeClr val="tx1">
                <a:lumMod val="15000"/>
                <a:lumOff val="85000"/>
              </a:schemeClr>
            </a:solidFill>
            <a:round/>
          </a:ln>
          <a:effectLst/>
        </c:spPr>
      </c:dTable>
      <c:spPr>
        <a:noFill/>
        <a:ln>
          <a:noFill/>
        </a:ln>
        <a:effectLst/>
      </c:spPr>
    </c:plotArea>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rtl="0">
        <a:defRPr sz="1000">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sz="1000"/>
            </a:pPr>
            <a:r>
              <a:rPr lang="en-US" sz="1000"/>
              <a:t>C A T </a:t>
            </a:r>
          </a:p>
        </c:rich>
      </c:tx>
      <c:layout>
        <c:manualLayout>
          <c:xMode val="edge"/>
          <c:yMode val="edge"/>
          <c:x val="0.44199011888219852"/>
          <c:y val="0"/>
        </c:manualLayout>
      </c:layout>
      <c:overlay val="0"/>
      <c:spPr>
        <a:noFill/>
        <a:ln>
          <a:noFill/>
        </a:ln>
        <a:effectLst/>
      </c:spPr>
    </c:title>
    <c:autoTitleDeleted val="0"/>
    <c:view3D>
      <c:rotX val="15"/>
      <c:rotY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708641865120475"/>
          <c:y val="0.032525581879357592"/>
          <c:w val="0.88291358134879527"/>
          <c:h val="0.79986803325561961"/>
        </c:manualLayout>
      </c:layout>
      <c:bar3DChart>
        <c:barDir val="col"/>
        <c:grouping val="clustered"/>
        <c:varyColors val="0"/>
        <c:ser>
          <c:idx val="0"/>
          <c:order val="0"/>
          <c:spPr>
            <a:solidFill>
              <a:schemeClr val="accent1"/>
            </a:solidFill>
            <a:ln>
              <a:noFill/>
            </a:ln>
            <a:effectLst/>
            <a:sp3d/>
          </c:spPr>
          <c:invertIfNegative val="0"/>
          <c:dPt>
            <c:idx val="1"/>
            <c:invertIfNegative val="0"/>
            <c:bubble3D val="0"/>
            <c:spPr>
              <a:solidFill>
                <a:srgbClr val="C00000"/>
              </a:solidFill>
              <a:ln>
                <a:noFill/>
              </a:ln>
              <a:effectLst/>
              <a:sp3d/>
            </c:spPr>
            <c:extLst>
              <c:ext xmlns:c16="http://schemas.microsoft.com/office/drawing/2014/chart" uri="{C3380CC4-5D6E-409C-BE32-E72D297353CC}">
                <c16:uniqueId val="{00000002-93A5-4AA2-9114-7F934477EE2C}"/>
              </c:ext>
            </c:extLst>
          </c:dPt>
          <c:dPt>
            <c:idx val="2"/>
            <c:invertIfNegative val="0"/>
            <c:bubble3D val="0"/>
            <c:spPr>
              <a:solidFill>
                <a:srgbClr val="00B050"/>
              </a:solidFill>
              <a:ln>
                <a:noFill/>
              </a:ln>
              <a:effectLst/>
              <a:sp3d/>
            </c:spPr>
            <c:extLst>
              <c:ext xmlns:c16="http://schemas.microsoft.com/office/drawing/2014/chart" uri="{C3380CC4-5D6E-409C-BE32-E72D297353CC}">
                <c16:uniqueId val="{00000001-93A5-4AA2-9114-7F934477EE2C}"/>
              </c:ext>
            </c:extLst>
          </c:dPt>
          <c:dLbls>
            <c:dLbl>
              <c:idx val="0"/>
              <c:layout>
                <c:manualLayout>
                  <c:x val="0.011111111111111112"/>
                  <c:y val="-0.041700933216681245"/>
                </c:manualLayout>
              </c:layout>
              <c:tx>
                <c:rich>
                  <a:bodyPr/>
                  <a:lstStyle/>
                  <a:p>
                    <a:r>
                      <a:rPr lang="en-US"/>
                      <a:t>b</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93A5-4AA2-9114-7F934477EE2C}"/>
                </c:ext>
              </c:extLst>
            </c:dLbl>
            <c:dLbl>
              <c:idx val="1"/>
              <c:layout>
                <c:manualLayout>
                  <c:x val="0.016666666666666566"/>
                  <c:y val="-0.046622193059201018"/>
                </c:manualLayout>
              </c:layout>
              <c:tx>
                <c:rich>
                  <a:bodyPr/>
                  <a:lstStyle/>
                  <a:p>
                    <a:r>
                      <a:rPr lang="en-US"/>
                      <a:t>b</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93A5-4AA2-9114-7F934477EE2C}"/>
                </c:ext>
              </c:extLst>
            </c:dLbl>
            <c:dLbl>
              <c:idx val="2"/>
              <c:layout>
                <c:manualLayout>
                  <c:x val="0.002777777777777676"/>
                  <c:y val="-0.050049212598425243"/>
                </c:manualLayout>
              </c:layout>
              <c:tx>
                <c:rich>
                  <a:bodyPr/>
                  <a:lstStyle/>
                  <a:p>
                    <a:r>
                      <a:rPr lang="en-US"/>
                      <a:t>a</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3A5-4AA2-9114-7F934477EE2C}"/>
                </c:ext>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ورقة2!$I$128:$K$128</c:f>
              <c:strCache>
                <c:ptCount val="3"/>
                <c:pt idx="0">
                  <c:v>A</c:v>
                </c:pt>
                <c:pt idx="1">
                  <c:v>B</c:v>
                </c:pt>
                <c:pt idx="2">
                  <c:v>C</c:v>
                </c:pt>
              </c:strCache>
            </c:strRef>
          </c:cat>
          <c:val>
            <c:numRef>
              <c:f>ورقة2!$I$129:$K$129</c:f>
              <c:numCache>
                <c:formatCode>General</c:formatCode>
                <c:ptCount val="3"/>
                <c:pt idx="0">
                  <c:v>6.11</c:v>
                </c:pt>
                <c:pt idx="1">
                  <c:v>2.776</c:v>
                </c:pt>
                <c:pt idx="2">
                  <c:v>1.709</c:v>
                </c:pt>
              </c:numCache>
            </c:numRef>
          </c:val>
          <c:extLst>
            <c:ext xmlns:c16="http://schemas.microsoft.com/office/drawing/2014/chart" uri="{C3380CC4-5D6E-409C-BE32-E72D297353CC}">
              <c16:uniqueId val="{00000000-93A5-4AA2-9114-7F934477EE2C}"/>
            </c:ext>
          </c:extLst>
        </c:ser>
        <c:dLbls>
          <c:showLegendKey val="0"/>
          <c:showVal val="1"/>
          <c:showCatName val="0"/>
          <c:showSerName val="0"/>
          <c:showPercent val="0"/>
          <c:showBubbleSize val="0"/>
        </c:dLbls>
        <c:gapWidth val="150"/>
        <c:shape val="box"/>
        <c:axId val="225653120"/>
        <c:axId val="225656832"/>
        <c:axId val="0"/>
      </c:bar3DChart>
      <c:catAx>
        <c:axId val="225653120"/>
        <c:scaling>
          <c:orientation val="minMax"/>
        </c:scaling>
        <c:delete val="0"/>
        <c:axPos val="b"/>
        <c:numFmt formatCode="General" sourceLinked="1"/>
        <c:majorTickMark val="none"/>
        <c:minorTickMark val="none"/>
        <c:tickLblPos val="nextTo"/>
        <c:spPr>
          <a:noFill/>
          <a:ln>
            <a:noFill/>
          </a:ln>
          <a:effectLst/>
        </c:spPr>
        <c:txPr>
          <a:bodyPr rot="-60000000" vert="horz"/>
          <a:lstStyle/>
          <a:p>
            <a:pPr>
              <a:defRPr/>
            </a:pPr>
            <a:endParaRPr lang="en-US"/>
          </a:p>
        </c:txPr>
        <c:crossAx val="225656832"/>
        <c:crosses val="autoZero"/>
        <c:auto val="1"/>
        <c:lblAlgn val="ctr"/>
        <c:lblOffset val="100"/>
        <c:noMultiLvlLbl val="0"/>
      </c:catAx>
      <c:valAx>
        <c:axId val="225656832"/>
        <c:scaling>
          <c:orientation val="minMax"/>
        </c:scaling>
        <c:delete val="0"/>
        <c:axPos val="l"/>
        <c:majorGridlines>
          <c:spPr>
            <a:ln w="9525">
              <a:solidFill>
                <a:schemeClr val="tx1">
                  <a:lumMod val="15000"/>
                  <a:lumOff val="85000"/>
                </a:schemeClr>
              </a:solidFill>
              <a:round/>
            </a:ln>
            <a:effectLst/>
          </c:spPr>
        </c:majorGridlines>
        <c:title>
          <c:tx>
            <c:rich>
              <a:bodyPr rot="-5400000" vert="horz"/>
              <a:lstStyle/>
              <a:p>
                <a:pPr>
                  <a:defRPr/>
                </a:pPr>
                <a:r>
                  <a:rPr lang="en-US"/>
                  <a:t>CAT</a:t>
                </a:r>
              </a:p>
            </c:rich>
          </c:tx>
          <c:layout>
            <c:manualLayout>
              <c:xMode val="edge"/>
              <c:yMode val="edge"/>
              <c:x val="0.0010529566157171527"/>
              <c:y val="0.42230099067666527"/>
            </c:manualLayout>
          </c:layout>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en-US"/>
          </a:p>
        </c:txPr>
        <c:crossAx val="225653120"/>
        <c:crosses val="autoZero"/>
        <c:crossBetween val="between"/>
      </c:valAx>
      <c:dTable>
        <c:showHorzBorder val="1"/>
        <c:showVertBorder val="1"/>
        <c:showOutline val="1"/>
        <c:showKeys val="1"/>
        <c:spPr>
          <a:noFill/>
          <a:ln w="9525">
            <a:solidFill>
              <a:schemeClr val="tx1">
                <a:lumMod val="15000"/>
                <a:lumOff val="85000"/>
              </a:schemeClr>
            </a:solidFill>
            <a:round/>
          </a:ln>
          <a:effectLst/>
        </c:spPr>
      </c:dTable>
      <c:spPr>
        <a:noFill/>
        <a:ln>
          <a:noFill/>
        </a:ln>
        <a:effectLst/>
      </c:spPr>
    </c:plotArea>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sz="1000">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sz="1000"/>
            </a:pPr>
            <a:r>
              <a:rPr lang="en-US" sz="1000"/>
              <a:t>G S H </a:t>
            </a:r>
          </a:p>
        </c:rich>
      </c:tx>
      <c:layout>
        <c:manualLayout>
          <c:xMode val="edge"/>
          <c:yMode val="edge"/>
          <c:x val="0.5326567855488652"/>
          <c:y val="0"/>
        </c:manualLayout>
      </c:layout>
      <c:overlay val="0"/>
      <c:spPr>
        <a:noFill/>
        <a:ln>
          <a:noFill/>
        </a:ln>
        <a:effectLst/>
      </c:spPr>
    </c:title>
    <c:autoTitleDeleted val="0"/>
    <c:view3D>
      <c:rotX val="15"/>
      <c:rotY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1327902906687821"/>
          <c:y val="0.032563836018586471"/>
          <c:w val="0.78672097093312177"/>
          <c:h val="0.79986803325561961"/>
        </c:manualLayout>
      </c:layout>
      <c:bar3DChart>
        <c:barDir val="col"/>
        <c:grouping val="clustered"/>
        <c:varyColors val="0"/>
        <c:ser>
          <c:idx val="0"/>
          <c:order val="0"/>
          <c:spPr>
            <a:solidFill>
              <a:schemeClr val="accent1"/>
            </a:solidFill>
            <a:ln>
              <a:noFill/>
            </a:ln>
            <a:effectLst/>
            <a:sp3d/>
          </c:spPr>
          <c:invertIfNegative val="0"/>
          <c:dPt>
            <c:idx val="1"/>
            <c:invertIfNegative val="0"/>
            <c:bubble3D val="0"/>
            <c:spPr>
              <a:solidFill>
                <a:srgbClr val="C00000"/>
              </a:solidFill>
              <a:ln>
                <a:noFill/>
              </a:ln>
              <a:effectLst/>
              <a:sp3d/>
            </c:spPr>
            <c:extLst>
              <c:ext xmlns:c16="http://schemas.microsoft.com/office/drawing/2014/chart" uri="{C3380CC4-5D6E-409C-BE32-E72D297353CC}">
                <c16:uniqueId val="{00000001-F287-48AC-B404-505196E3C1B4}"/>
              </c:ext>
            </c:extLst>
          </c:dPt>
          <c:dPt>
            <c:idx val="2"/>
            <c:invertIfNegative val="0"/>
            <c:bubble3D val="0"/>
            <c:spPr>
              <a:solidFill>
                <a:srgbClr val="00B050"/>
              </a:solidFill>
              <a:ln>
                <a:noFill/>
              </a:ln>
              <a:effectLst/>
              <a:sp3d/>
            </c:spPr>
            <c:extLst>
              <c:ext xmlns:c16="http://schemas.microsoft.com/office/drawing/2014/chart" uri="{C3380CC4-5D6E-409C-BE32-E72D297353CC}">
                <c16:uniqueId val="{00000003-F287-48AC-B404-505196E3C1B4}"/>
              </c:ext>
            </c:extLst>
          </c:dPt>
          <c:dLbls>
            <c:dLbl>
              <c:idx val="0"/>
              <c:layout>
                <c:manualLayout>
                  <c:x val="0.0027777777777777779"/>
                  <c:y val="-0.031350612423447069"/>
                </c:manualLayout>
              </c:layout>
              <c:tx>
                <c:rich>
                  <a:bodyPr/>
                  <a:lstStyle/>
                  <a:p>
                    <a:r>
                      <a:rPr lang="en-US"/>
                      <a:t>a</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F287-48AC-B404-505196E3C1B4}"/>
                </c:ext>
              </c:extLst>
            </c:dLbl>
            <c:dLbl>
              <c:idx val="1"/>
              <c:layout>
                <c:manualLayout>
                  <c:x val="0"/>
                  <c:y val="-0.0315255905511811"/>
                </c:manualLayout>
              </c:layout>
              <c:tx>
                <c:rich>
                  <a:bodyPr/>
                  <a:lstStyle/>
                  <a:p>
                    <a:r>
                      <a:rPr lang="en-US"/>
                      <a:t>ab</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F287-48AC-B404-505196E3C1B4}"/>
                </c:ext>
              </c:extLst>
            </c:dLbl>
            <c:dLbl>
              <c:idx val="2"/>
              <c:layout>
                <c:manualLayout>
                  <c:x val="0.002777777777777676"/>
                  <c:y val="-0.036299577136191308"/>
                </c:manualLayout>
              </c:layout>
              <c:tx>
                <c:rich>
                  <a:bodyPr/>
                  <a:lstStyle/>
                  <a:p>
                    <a:r>
                      <a:rPr lang="en-US"/>
                      <a:t>b</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F287-48AC-B404-505196E3C1B4}"/>
                </c:ext>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ورقة2!$I$171:$K$171</c:f>
              <c:strCache>
                <c:ptCount val="3"/>
                <c:pt idx="0">
                  <c:v>A</c:v>
                </c:pt>
                <c:pt idx="1">
                  <c:v>B</c:v>
                </c:pt>
                <c:pt idx="2">
                  <c:v>C</c:v>
                </c:pt>
              </c:strCache>
            </c:strRef>
          </c:cat>
          <c:val>
            <c:numRef>
              <c:f>ورقة2!$I$172:$K$172</c:f>
              <c:numCache>
                <c:formatCode>General</c:formatCode>
                <c:ptCount val="3"/>
                <c:pt idx="0">
                  <c:v>290.1</c:v>
                </c:pt>
                <c:pt idx="1">
                  <c:v>262.6</c:v>
                </c:pt>
                <c:pt idx="2">
                  <c:v>240</c:v>
                </c:pt>
              </c:numCache>
            </c:numRef>
          </c:val>
          <c:extLst>
            <c:ext xmlns:c16="http://schemas.microsoft.com/office/drawing/2014/chart" uri="{C3380CC4-5D6E-409C-BE32-E72D297353CC}">
              <c16:uniqueId val="{00000005-F287-48AC-B404-505196E3C1B4}"/>
            </c:ext>
          </c:extLst>
        </c:ser>
        <c:dLbls>
          <c:showLegendKey val="0"/>
          <c:showVal val="1"/>
          <c:showCatName val="0"/>
          <c:showSerName val="0"/>
          <c:showPercent val="0"/>
          <c:showBubbleSize val="0"/>
        </c:dLbls>
        <c:gapWidth val="150"/>
        <c:shape val="box"/>
        <c:axId val="243109888"/>
        <c:axId val="243113344"/>
        <c:axId val="0"/>
      </c:bar3DChart>
      <c:catAx>
        <c:axId val="243109888"/>
        <c:scaling>
          <c:orientation val="minMax"/>
        </c:scaling>
        <c:delete val="0"/>
        <c:axPos val="b"/>
        <c:numFmt formatCode="General" sourceLinked="1"/>
        <c:majorTickMark val="none"/>
        <c:minorTickMark val="none"/>
        <c:tickLblPos val="nextTo"/>
        <c:spPr>
          <a:noFill/>
          <a:ln>
            <a:noFill/>
          </a:ln>
          <a:effectLst/>
        </c:spPr>
        <c:txPr>
          <a:bodyPr rot="-60000000" vert="horz"/>
          <a:lstStyle/>
          <a:p>
            <a:pPr>
              <a:defRPr/>
            </a:pPr>
            <a:endParaRPr lang="en-US"/>
          </a:p>
        </c:txPr>
        <c:crossAx val="243113344"/>
        <c:crosses val="autoZero"/>
        <c:auto val="1"/>
        <c:lblAlgn val="ctr"/>
        <c:lblOffset val="100"/>
        <c:noMultiLvlLbl val="0"/>
      </c:catAx>
      <c:valAx>
        <c:axId val="243113344"/>
        <c:scaling>
          <c:orientation val="minMax"/>
        </c:scaling>
        <c:delete val="0"/>
        <c:axPos val="l"/>
        <c:majorGridlines>
          <c:spPr>
            <a:ln w="9525">
              <a:solidFill>
                <a:schemeClr val="tx1">
                  <a:lumMod val="15000"/>
                  <a:lumOff val="85000"/>
                </a:schemeClr>
              </a:solidFill>
              <a:round/>
            </a:ln>
            <a:effectLst/>
          </c:spPr>
        </c:majorGridlines>
        <c:title>
          <c:tx>
            <c:rich>
              <a:bodyPr rot="-5400000" vert="horz"/>
              <a:lstStyle/>
              <a:p>
                <a:pPr>
                  <a:defRPr/>
                </a:pPr>
                <a:r>
                  <a:rPr lang="en-US"/>
                  <a:t>GSH</a:t>
                </a:r>
              </a:p>
            </c:rich>
          </c:tx>
          <c:layout>
            <c:manualLayout>
              <c:xMode val="edge"/>
              <c:yMode val="edge"/>
              <c:x val="0.0015748031496063035"/>
              <c:y val="0.43888897892467943"/>
            </c:manualLayout>
          </c:layout>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en-US"/>
          </a:p>
        </c:txPr>
        <c:crossAx val="243109888"/>
        <c:crosses val="autoZero"/>
        <c:crossBetween val="between"/>
      </c:valAx>
      <c:dTable>
        <c:showHorzBorder val="1"/>
        <c:showVertBorder val="1"/>
        <c:showOutline val="1"/>
        <c:showKeys val="1"/>
        <c:spPr>
          <a:noFill/>
          <a:ln w="9525">
            <a:solidFill>
              <a:schemeClr val="tx1">
                <a:lumMod val="15000"/>
                <a:lumOff val="85000"/>
              </a:schemeClr>
            </a:solidFill>
            <a:round/>
          </a:ln>
          <a:effectLst/>
        </c:spPr>
      </c:dTable>
      <c:spPr>
        <a:noFill/>
        <a:ln>
          <a:noFill/>
        </a:ln>
        <a:effectLst/>
      </c:spPr>
    </c:plotArea>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sz="1000">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en-US"/>
              <a:t>S O D </a:t>
            </a:r>
          </a:p>
        </c:rich>
      </c:tx>
      <c:layout>
        <c:manualLayout>
          <c:xMode val="edge"/>
          <c:yMode val="edge"/>
          <c:x val="0.43593144974525244"/>
          <c:y val="0"/>
        </c:manualLayout>
      </c:layout>
      <c:overlay val="0"/>
      <c:spPr>
        <a:noFill/>
        <a:ln>
          <a:noFill/>
        </a:ln>
        <a:effectLst/>
      </c:spPr>
    </c:title>
    <c:autoTitleDeleted val="0"/>
    <c:view3D>
      <c:rotX val="15"/>
      <c:rotY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1327902906687821"/>
          <c:y val="0.032563836018586471"/>
          <c:w val="0.78672097093312177"/>
          <c:h val="0.79986803325561961"/>
        </c:manualLayout>
      </c:layout>
      <c:bar3DChart>
        <c:barDir val="col"/>
        <c:grouping val="clustered"/>
        <c:varyColors val="0"/>
        <c:ser>
          <c:idx val="0"/>
          <c:order val="0"/>
          <c:spPr>
            <a:solidFill>
              <a:schemeClr val="accent1"/>
            </a:solidFill>
            <a:ln>
              <a:noFill/>
            </a:ln>
            <a:effectLst/>
            <a:sp3d/>
          </c:spPr>
          <c:invertIfNegative val="0"/>
          <c:dPt>
            <c:idx val="1"/>
            <c:invertIfNegative val="0"/>
            <c:bubble3D val="0"/>
            <c:spPr>
              <a:solidFill>
                <a:srgbClr val="C00000"/>
              </a:solidFill>
              <a:ln>
                <a:noFill/>
              </a:ln>
              <a:effectLst/>
              <a:sp3d/>
            </c:spPr>
            <c:extLst>
              <c:ext xmlns:c16="http://schemas.microsoft.com/office/drawing/2014/chart" uri="{C3380CC4-5D6E-409C-BE32-E72D297353CC}">
                <c16:uniqueId val="{00000001-FDD8-40A3-B860-727773620670}"/>
              </c:ext>
            </c:extLst>
          </c:dPt>
          <c:dPt>
            <c:idx val="2"/>
            <c:invertIfNegative val="0"/>
            <c:bubble3D val="0"/>
            <c:spPr>
              <a:solidFill>
                <a:srgbClr val="00B050"/>
              </a:solidFill>
              <a:ln>
                <a:noFill/>
              </a:ln>
              <a:effectLst/>
              <a:sp3d/>
            </c:spPr>
            <c:extLst>
              <c:ext xmlns:c16="http://schemas.microsoft.com/office/drawing/2014/chart" uri="{C3380CC4-5D6E-409C-BE32-E72D297353CC}">
                <c16:uniqueId val="{00000003-FDD8-40A3-B860-727773620670}"/>
              </c:ext>
            </c:extLst>
          </c:dPt>
          <c:dLbls>
            <c:dLbl>
              <c:idx val="0"/>
              <c:layout>
                <c:manualLayout>
                  <c:x val="0.0055555555555555558"/>
                  <c:y val="-0.055298920968212262"/>
                </c:manualLayout>
              </c:layout>
              <c:tx>
                <c:rich>
                  <a:bodyPr/>
                  <a:lstStyle/>
                  <a:p>
                    <a:r>
                      <a:rPr lang="en-US"/>
                      <a:t>b</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FDD8-40A3-B860-727773620670}"/>
                </c:ext>
              </c:extLst>
            </c:dLbl>
            <c:dLbl>
              <c:idx val="1"/>
              <c:layout>
                <c:manualLayout>
                  <c:x val="0.0055555555555555558"/>
                  <c:y val="-0.040639399241761465"/>
                </c:manualLayout>
              </c:layout>
              <c:tx>
                <c:rich>
                  <a:bodyPr/>
                  <a:lstStyle/>
                  <a:p>
                    <a:r>
                      <a:rPr lang="en-US"/>
                      <a:t>a</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FDD8-40A3-B860-727773620670}"/>
                </c:ext>
              </c:extLst>
            </c:dLbl>
            <c:dLbl>
              <c:idx val="2"/>
              <c:layout>
                <c:manualLayout>
                  <c:x val="-1.0185067526415994E-16"/>
                  <c:y val="-0.042191965587634876"/>
                </c:manualLayout>
              </c:layout>
              <c:tx>
                <c:rich>
                  <a:bodyPr/>
                  <a:lstStyle/>
                  <a:p>
                    <a:r>
                      <a:rPr lang="en-US"/>
                      <a:t>c</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FDD8-40A3-B860-727773620670}"/>
                </c:ext>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ورقة2!$I$193:$K$193</c:f>
              <c:strCache>
                <c:ptCount val="3"/>
                <c:pt idx="0">
                  <c:v>A</c:v>
                </c:pt>
                <c:pt idx="1">
                  <c:v>B</c:v>
                </c:pt>
                <c:pt idx="2">
                  <c:v>C</c:v>
                </c:pt>
              </c:strCache>
            </c:strRef>
          </c:cat>
          <c:val>
            <c:numRef>
              <c:f>ورقة2!$I$194:$K$194</c:f>
              <c:numCache>
                <c:formatCode>General</c:formatCode>
                <c:ptCount val="3"/>
                <c:pt idx="0">
                  <c:v>666</c:v>
                </c:pt>
                <c:pt idx="1">
                  <c:v>384</c:v>
                </c:pt>
                <c:pt idx="2">
                  <c:v>97.8</c:v>
                </c:pt>
              </c:numCache>
            </c:numRef>
          </c:val>
          <c:extLst>
            <c:ext xmlns:c16="http://schemas.microsoft.com/office/drawing/2014/chart" uri="{C3380CC4-5D6E-409C-BE32-E72D297353CC}">
              <c16:uniqueId val="{00000000-FDD8-40A3-B860-727773620670}"/>
            </c:ext>
          </c:extLst>
        </c:ser>
        <c:dLbls>
          <c:showLegendKey val="0"/>
          <c:showVal val="1"/>
          <c:showCatName val="0"/>
          <c:showSerName val="0"/>
          <c:showPercent val="0"/>
          <c:showBubbleSize val="0"/>
        </c:dLbls>
        <c:gapWidth val="150"/>
        <c:shape val="box"/>
        <c:axId val="226106752"/>
        <c:axId val="242801664"/>
        <c:axId val="0"/>
      </c:bar3DChart>
      <c:catAx>
        <c:axId val="226106752"/>
        <c:scaling>
          <c:orientation val="minMax"/>
        </c:scaling>
        <c:delete val="0"/>
        <c:axPos val="b"/>
        <c:numFmt formatCode="General" sourceLinked="1"/>
        <c:majorTickMark val="none"/>
        <c:minorTickMark val="none"/>
        <c:tickLblPos val="nextTo"/>
        <c:spPr>
          <a:noFill/>
          <a:ln>
            <a:noFill/>
          </a:ln>
          <a:effectLst/>
        </c:spPr>
        <c:txPr>
          <a:bodyPr rot="-60000000" vert="horz"/>
          <a:lstStyle/>
          <a:p>
            <a:pPr>
              <a:defRPr/>
            </a:pPr>
            <a:endParaRPr lang="en-US"/>
          </a:p>
        </c:txPr>
        <c:crossAx val="242801664"/>
        <c:crosses val="autoZero"/>
        <c:auto val="1"/>
        <c:lblAlgn val="ctr"/>
        <c:lblOffset val="100"/>
        <c:noMultiLvlLbl val="0"/>
      </c:catAx>
      <c:valAx>
        <c:axId val="242801664"/>
        <c:scaling>
          <c:orientation val="minMax"/>
        </c:scaling>
        <c:delete val="0"/>
        <c:axPos val="l"/>
        <c:majorGridlines>
          <c:spPr>
            <a:ln w="9525">
              <a:solidFill>
                <a:schemeClr val="tx1">
                  <a:lumMod val="15000"/>
                  <a:lumOff val="85000"/>
                </a:schemeClr>
              </a:solidFill>
              <a:round/>
            </a:ln>
            <a:effectLst/>
          </c:spPr>
        </c:majorGridlines>
        <c:title>
          <c:tx>
            <c:rich>
              <a:bodyPr rot="-5400000" vert="horz"/>
              <a:lstStyle/>
              <a:p>
                <a:pPr>
                  <a:defRPr/>
                </a:pPr>
                <a:r>
                  <a:rPr lang="en-US"/>
                  <a:t>SOD</a:t>
                </a:r>
              </a:p>
            </c:rich>
          </c:tx>
          <c:layout>
            <c:manualLayout>
              <c:xMode val="edge"/>
              <c:yMode val="edge"/>
              <c:x val="0"/>
              <c:y val="0.44715009712289344"/>
            </c:manualLayout>
          </c:layout>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en-US"/>
          </a:p>
        </c:txPr>
        <c:crossAx val="226106752"/>
        <c:crosses val="autoZero"/>
        <c:crossBetween val="between"/>
      </c:valAx>
      <c:dTable>
        <c:showHorzBorder val="1"/>
        <c:showVertBorder val="1"/>
        <c:showOutline val="1"/>
        <c:showKeys val="1"/>
        <c:spPr>
          <a:noFill/>
          <a:ln w="9525">
            <a:solidFill>
              <a:schemeClr val="tx1">
                <a:lumMod val="15000"/>
                <a:lumOff val="85000"/>
              </a:schemeClr>
            </a:solidFill>
            <a:round/>
          </a:ln>
          <a:effectLst/>
        </c:spPr>
      </c:dTable>
      <c:spPr>
        <a:noFill/>
        <a:ln>
          <a:noFill/>
        </a:ln>
        <a:effectLst/>
      </c:spPr>
    </c:plotArea>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sz="10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pharmaceutics-template (1)</Template>
  <TotalTime>218</TotalTime>
  <Pages>4</Pages>
  <Words>2175</Words>
  <Characters>12399</Characters>
  <Application>Microsoft Office Word</Application>
  <DocSecurity>0</DocSecurity>
  <Lines>103</Lines>
  <Paragraphs>29</Paragraphs>
  <ScaleCrop>false</ScaleCrop>
  <HeadingPairs>
    <vt:vector size="6" baseType="variant">
      <vt:variant>
        <vt:lpstr>Title</vt:lpstr>
      </vt:variant>
      <vt:variant>
        <vt:i4>1</vt:i4>
      </vt:variant>
      <vt:variant>
        <vt:lpstr>العنوان</vt:lpstr>
      </vt:variant>
      <vt:variant>
        <vt:i4>1</vt:i4>
      </vt:variant>
      <vt:variant>
        <vt:lpstr>Título</vt:lpstr>
      </vt:variant>
      <vt:variant>
        <vt:i4>1</vt:i4>
      </vt:variant>
    </vt:vector>
  </HeadingPairs>
  <TitlesOfParts>
    <vt:vector size="3" baseType="lpstr">
      <vt:lpstr>Type of the Paper (Article</vt:lpstr>
      <vt:lpstr>Type of the Paper (Article</vt:lpstr>
      <vt:lpstr>Type of the Paper (Article</vt:lpstr>
    </vt:vector>
  </TitlesOfParts>
  <Company>Naim Al Hussaini</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creator>Bionatura</dc:creator>
  <cp:lastModifiedBy>hashim lateef</cp:lastModifiedBy>
  <cp:revision>18</cp:revision>
  <dcterms:created xsi:type="dcterms:W3CDTF">2022-12-01T18:51:00Z</dcterms:created>
  <dcterms:modified xsi:type="dcterms:W3CDTF">2023-05-09T10:46:00Z</dcterms:modified>
</cp:coreProperties>
</file>